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1ED" w:rsidRPr="0022766D" w:rsidRDefault="001E2B09" w:rsidP="008C51ED">
      <w:pPr>
        <w:pStyle w:val="Header"/>
        <w:jc w:val="center"/>
        <w:rPr>
          <w:rFonts w:ascii="Book Antiqua" w:hAnsi="Book Antiqua"/>
          <w:b/>
          <w:i/>
          <w:sz w:val="36"/>
          <w:szCs w:val="36"/>
        </w:rPr>
      </w:pPr>
      <w:bookmarkStart w:id="0" w:name="_GoBack"/>
      <w:bookmarkEnd w:id="0"/>
      <w:r>
        <w:rPr>
          <w:noProof/>
          <w:sz w:val="36"/>
          <w:szCs w:val="36"/>
        </w:rPr>
        <mc:AlternateContent>
          <mc:Choice Requires="wps">
            <w:drawing>
              <wp:anchor distT="4294967295" distB="4294967295" distL="114300" distR="114300" simplePos="0" relativeHeight="251659264" behindDoc="0" locked="0" layoutInCell="1" allowOverlap="1">
                <wp:simplePos x="0" y="0"/>
                <wp:positionH relativeFrom="column">
                  <wp:posOffset>-245745</wp:posOffset>
                </wp:positionH>
                <wp:positionV relativeFrom="paragraph">
                  <wp:posOffset>-1885951</wp:posOffset>
                </wp:positionV>
                <wp:extent cx="6057900" cy="0"/>
                <wp:effectExtent l="0" t="19050" r="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5pt,-148.5pt" to="457.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094GAIAADQ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" strokeweight="3pt">
                <v:stroke linestyle="thinThin"/>
              </v:line>
            </w:pict>
          </mc:Fallback>
        </mc:AlternateContent>
      </w:r>
      <w:r w:rsidR="008C51ED" w:rsidRPr="0022766D">
        <w:rPr>
          <w:rFonts w:ascii="Book Antiqua" w:hAnsi="Book Antiqua"/>
          <w:b/>
          <w:i/>
          <w:sz w:val="36"/>
          <w:szCs w:val="36"/>
        </w:rPr>
        <w:t>WEST BRANCH-ROSE CITY AREA SCHOOLS</w:t>
      </w:r>
    </w:p>
    <w:p w:rsidR="008C51ED" w:rsidRPr="0022766D" w:rsidRDefault="008C51ED" w:rsidP="008C51ED">
      <w:pPr>
        <w:pStyle w:val="Header"/>
        <w:jc w:val="center"/>
        <w:rPr>
          <w:rFonts w:ascii="Book Antiqua" w:hAnsi="Book Antiqua"/>
          <w:i/>
          <w:sz w:val="28"/>
          <w:szCs w:val="28"/>
        </w:rPr>
      </w:pPr>
      <w:r w:rsidRPr="0022766D">
        <w:rPr>
          <w:rFonts w:ascii="Book Antiqua" w:hAnsi="Book Antiqua"/>
          <w:i/>
          <w:sz w:val="28"/>
          <w:szCs w:val="28"/>
        </w:rPr>
        <w:t>Daniel J. Cwayna, Superintendent</w:t>
      </w:r>
    </w:p>
    <w:tbl>
      <w:tblPr>
        <w:tblStyle w:val="TableGrid"/>
        <w:tblW w:w="95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28"/>
        <w:gridCol w:w="2340"/>
        <w:gridCol w:w="3690"/>
      </w:tblGrid>
      <w:tr w:rsidR="008C51ED" w:rsidTr="00AA2CC4">
        <w:trPr>
          <w:jc w:val="center"/>
        </w:trPr>
        <w:tc>
          <w:tcPr>
            <w:tcW w:w="3528" w:type="dxa"/>
          </w:tcPr>
          <w:p w:rsidR="008C51ED" w:rsidRPr="0022766D" w:rsidRDefault="008C51ED" w:rsidP="00AA2CC4">
            <w:pPr>
              <w:pStyle w:val="Header"/>
              <w:jc w:val="center"/>
              <w:rPr>
                <w:rFonts w:ascii="Book Antiqua" w:hAnsi="Book Antiqua"/>
                <w:sz w:val="20"/>
              </w:rPr>
            </w:pPr>
            <w:r w:rsidRPr="0022766D">
              <w:rPr>
                <w:rFonts w:ascii="Book Antiqua" w:hAnsi="Book Antiqua"/>
                <w:sz w:val="20"/>
              </w:rPr>
              <w:t>Mailing address:</w:t>
            </w:r>
          </w:p>
          <w:p w:rsidR="008C51ED" w:rsidRPr="0022766D" w:rsidRDefault="008C51ED" w:rsidP="00AA2CC4">
            <w:pPr>
              <w:pStyle w:val="Header"/>
              <w:jc w:val="center"/>
              <w:rPr>
                <w:rFonts w:ascii="Book Antiqua" w:hAnsi="Book Antiqua"/>
                <w:sz w:val="20"/>
              </w:rPr>
            </w:pPr>
            <w:r w:rsidRPr="0022766D">
              <w:rPr>
                <w:rFonts w:ascii="Book Antiqua" w:hAnsi="Book Antiqua"/>
                <w:sz w:val="20"/>
              </w:rPr>
              <w:t>P. O. Box 308</w:t>
            </w:r>
          </w:p>
          <w:p w:rsidR="008C51ED" w:rsidRDefault="008C51ED" w:rsidP="00AA2CC4">
            <w:pPr>
              <w:pStyle w:val="Header"/>
              <w:jc w:val="center"/>
              <w:rPr>
                <w:rFonts w:ascii="Book Antiqua" w:hAnsi="Book Antiqua"/>
                <w:sz w:val="20"/>
              </w:rPr>
            </w:pPr>
            <w:r w:rsidRPr="0022766D">
              <w:rPr>
                <w:rFonts w:ascii="Book Antiqua" w:hAnsi="Book Antiqua"/>
                <w:sz w:val="20"/>
              </w:rPr>
              <w:t>West Branch, MI  48661</w:t>
            </w:r>
          </w:p>
          <w:p w:rsidR="008C51ED" w:rsidRPr="0022766D" w:rsidRDefault="008C51ED" w:rsidP="00AA2CC4">
            <w:pPr>
              <w:pStyle w:val="Header"/>
              <w:jc w:val="center"/>
              <w:rPr>
                <w:rFonts w:ascii="Book Antiqua" w:hAnsi="Book Antiqua"/>
                <w:sz w:val="8"/>
                <w:szCs w:val="8"/>
              </w:rPr>
            </w:pPr>
          </w:p>
          <w:p w:rsidR="008C51ED" w:rsidRPr="0022766D" w:rsidRDefault="008C51ED" w:rsidP="00AA2CC4">
            <w:pPr>
              <w:pStyle w:val="Header"/>
              <w:jc w:val="center"/>
              <w:rPr>
                <w:rFonts w:ascii="Book Antiqua" w:hAnsi="Book Antiqua"/>
                <w:sz w:val="20"/>
              </w:rPr>
            </w:pPr>
            <w:r w:rsidRPr="0022766D">
              <w:rPr>
                <w:rFonts w:ascii="Book Antiqua" w:hAnsi="Book Antiqua"/>
                <w:sz w:val="20"/>
              </w:rPr>
              <w:t>Phone:  (989) 343-2000</w:t>
            </w:r>
          </w:p>
        </w:tc>
        <w:tc>
          <w:tcPr>
            <w:tcW w:w="2340" w:type="dxa"/>
          </w:tcPr>
          <w:p w:rsidR="008C51ED" w:rsidRDefault="001E2B09" w:rsidP="00AA2CC4">
            <w:pPr>
              <w:pStyle w:val="Header"/>
              <w:jc w:val="center"/>
              <w:rPr>
                <w:rFonts w:ascii="Book Antiqua" w:hAnsi="Book Antiqua"/>
                <w:noProof/>
                <w:sz w:val="20"/>
              </w:rPr>
            </w:pPr>
            <w:r>
              <w:rPr>
                <w:noProof/>
              </w:rPr>
              <w:drawing>
                <wp:anchor distT="0" distB="0" distL="114300" distR="114300" simplePos="0" relativeHeight="251661312" behindDoc="0" locked="0" layoutInCell="1" allowOverlap="1">
                  <wp:simplePos x="0" y="0"/>
                  <wp:positionH relativeFrom="column">
                    <wp:posOffset>440055</wp:posOffset>
                  </wp:positionH>
                  <wp:positionV relativeFrom="paragraph">
                    <wp:posOffset>13335</wp:posOffset>
                  </wp:positionV>
                  <wp:extent cx="550545" cy="543560"/>
                  <wp:effectExtent l="0" t="0" r="1905" b="8890"/>
                  <wp:wrapNone/>
                  <wp:docPr id="8" name="Picture 6" descr="WBRC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BRCLogo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 cy="543560"/>
                          </a:xfrm>
                          <a:prstGeom prst="rect">
                            <a:avLst/>
                          </a:prstGeom>
                          <a:noFill/>
                        </pic:spPr>
                      </pic:pic>
                    </a:graphicData>
                  </a:graphic>
                  <wp14:sizeRelH relativeFrom="page">
                    <wp14:pctWidth>0</wp14:pctWidth>
                  </wp14:sizeRelH>
                  <wp14:sizeRelV relativeFrom="page">
                    <wp14:pctHeight>0</wp14:pctHeight>
                  </wp14:sizeRelV>
                </wp:anchor>
              </w:drawing>
            </w:r>
          </w:p>
          <w:p w:rsidR="008C51ED" w:rsidRDefault="008C51ED" w:rsidP="00AA2CC4">
            <w:pPr>
              <w:pStyle w:val="Header"/>
              <w:jc w:val="center"/>
              <w:rPr>
                <w:rFonts w:ascii="Book Antiqua" w:hAnsi="Book Antiqua"/>
                <w:noProof/>
                <w:sz w:val="20"/>
              </w:rPr>
            </w:pPr>
          </w:p>
          <w:p w:rsidR="008C51ED" w:rsidRDefault="008C51ED" w:rsidP="00AA2CC4">
            <w:pPr>
              <w:pStyle w:val="Header"/>
              <w:jc w:val="center"/>
              <w:rPr>
                <w:rFonts w:ascii="Book Antiqua" w:hAnsi="Book Antiqua"/>
                <w:noProof/>
                <w:sz w:val="20"/>
              </w:rPr>
            </w:pPr>
          </w:p>
          <w:p w:rsidR="008C51ED" w:rsidRPr="0022766D" w:rsidRDefault="008C51ED" w:rsidP="00AA2CC4">
            <w:pPr>
              <w:pStyle w:val="Header"/>
              <w:jc w:val="center"/>
              <w:rPr>
                <w:rFonts w:ascii="Book Antiqua" w:hAnsi="Book Antiqua"/>
                <w:noProof/>
                <w:sz w:val="8"/>
                <w:szCs w:val="8"/>
              </w:rPr>
            </w:pPr>
          </w:p>
          <w:p w:rsidR="008C51ED" w:rsidRPr="0022766D" w:rsidRDefault="008C51ED" w:rsidP="00AA2CC4">
            <w:pPr>
              <w:pStyle w:val="Header"/>
              <w:jc w:val="center"/>
              <w:rPr>
                <w:rFonts w:ascii="Book Antiqua" w:hAnsi="Book Antiqua"/>
                <w:sz w:val="20"/>
              </w:rPr>
            </w:pPr>
            <w:r w:rsidRPr="0022766D">
              <w:rPr>
                <w:rFonts w:ascii="Book Antiqua" w:hAnsi="Book Antiqua"/>
                <w:sz w:val="20"/>
              </w:rPr>
              <w:t>www.wbrc.k12.mi.us</w:t>
            </w:r>
          </w:p>
        </w:tc>
        <w:tc>
          <w:tcPr>
            <w:tcW w:w="3690" w:type="dxa"/>
          </w:tcPr>
          <w:p w:rsidR="008C51ED" w:rsidRPr="0022766D" w:rsidRDefault="008C51ED" w:rsidP="00AA2CC4">
            <w:pPr>
              <w:pStyle w:val="Header"/>
              <w:jc w:val="center"/>
              <w:rPr>
                <w:rFonts w:ascii="Book Antiqua" w:hAnsi="Book Antiqua"/>
                <w:sz w:val="20"/>
              </w:rPr>
            </w:pPr>
            <w:r w:rsidRPr="0022766D">
              <w:rPr>
                <w:rFonts w:ascii="Book Antiqua" w:hAnsi="Book Antiqua"/>
                <w:sz w:val="20"/>
              </w:rPr>
              <w:t>Physical address:</w:t>
            </w:r>
          </w:p>
          <w:p w:rsidR="008C51ED" w:rsidRPr="0022766D" w:rsidRDefault="008C51ED" w:rsidP="00AA2CC4">
            <w:pPr>
              <w:pStyle w:val="Header"/>
              <w:jc w:val="center"/>
              <w:rPr>
                <w:rFonts w:ascii="Book Antiqua" w:hAnsi="Book Antiqua"/>
                <w:sz w:val="20"/>
              </w:rPr>
            </w:pPr>
            <w:r w:rsidRPr="0022766D">
              <w:rPr>
                <w:rFonts w:ascii="Book Antiqua" w:hAnsi="Book Antiqua"/>
                <w:sz w:val="20"/>
              </w:rPr>
              <w:t>960 South M-33</w:t>
            </w:r>
          </w:p>
          <w:p w:rsidR="008C51ED" w:rsidRDefault="008C51ED" w:rsidP="00AA2CC4">
            <w:pPr>
              <w:pStyle w:val="Header"/>
              <w:jc w:val="center"/>
              <w:rPr>
                <w:rFonts w:ascii="Book Antiqua" w:hAnsi="Book Antiqua"/>
                <w:sz w:val="20"/>
              </w:rPr>
            </w:pPr>
            <w:r w:rsidRPr="0022766D">
              <w:rPr>
                <w:rFonts w:ascii="Book Antiqua" w:hAnsi="Book Antiqua"/>
                <w:sz w:val="20"/>
              </w:rPr>
              <w:t>West Branch, MI 48661</w:t>
            </w:r>
          </w:p>
          <w:p w:rsidR="008C51ED" w:rsidRPr="0022766D" w:rsidRDefault="008C51ED" w:rsidP="00AA2CC4">
            <w:pPr>
              <w:pStyle w:val="Header"/>
              <w:jc w:val="center"/>
              <w:rPr>
                <w:rFonts w:ascii="Book Antiqua" w:hAnsi="Book Antiqua"/>
                <w:sz w:val="8"/>
                <w:szCs w:val="8"/>
              </w:rPr>
            </w:pPr>
          </w:p>
          <w:p w:rsidR="008C51ED" w:rsidRPr="0022766D" w:rsidRDefault="008C51ED" w:rsidP="00AA2CC4">
            <w:pPr>
              <w:pStyle w:val="Header"/>
              <w:jc w:val="center"/>
              <w:rPr>
                <w:rFonts w:ascii="Book Antiqua" w:hAnsi="Book Antiqua"/>
                <w:sz w:val="20"/>
              </w:rPr>
            </w:pPr>
            <w:r w:rsidRPr="0022766D">
              <w:rPr>
                <w:rFonts w:ascii="Book Antiqua" w:hAnsi="Book Antiqua"/>
                <w:sz w:val="20"/>
              </w:rPr>
              <w:t>Fax:  (989) 343-2006</w:t>
            </w:r>
          </w:p>
        </w:tc>
      </w:tr>
    </w:tbl>
    <w:p w:rsidR="008C51ED" w:rsidRPr="00B901AE" w:rsidRDefault="001E2B09" w:rsidP="008C51ED">
      <w:pPr>
        <w:pStyle w:val="Header"/>
        <w:jc w:val="center"/>
        <w:rPr>
          <w:rFonts w:ascii="Calibri" w:hAnsi="Calibr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34925</wp:posOffset>
                </wp:positionV>
                <wp:extent cx="6400800" cy="0"/>
                <wp:effectExtent l="26670" t="25400" r="20955" b="222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pt" to="507.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" strokeweight="3pt">
                <v:stroke linestyle="thinThin"/>
              </v:line>
            </w:pict>
          </mc:Fallback>
        </mc:AlternateContent>
      </w:r>
    </w:p>
    <w:p w:rsidR="00310CA6" w:rsidRPr="008C51ED" w:rsidRDefault="00310CA6" w:rsidP="008C51ED">
      <w:pPr>
        <w:jc w:val="both"/>
        <w:rPr>
          <w:rFonts w:ascii="Calibri" w:hAnsi="Calibri"/>
          <w:sz w:val="22"/>
          <w:szCs w:val="22"/>
        </w:rPr>
      </w:pPr>
    </w:p>
    <w:p w:rsidR="008C51ED" w:rsidRPr="008C51ED" w:rsidRDefault="008C51ED" w:rsidP="008C51ED">
      <w:pPr>
        <w:jc w:val="both"/>
        <w:rPr>
          <w:rFonts w:ascii="Calibri" w:hAnsi="Calibri"/>
          <w:sz w:val="22"/>
          <w:szCs w:val="22"/>
        </w:rPr>
      </w:pPr>
    </w:p>
    <w:p w:rsidR="008C51ED" w:rsidRPr="008C51ED" w:rsidRDefault="008C51ED" w:rsidP="008C51ED">
      <w:pPr>
        <w:jc w:val="both"/>
        <w:rPr>
          <w:rFonts w:ascii="Calibri" w:hAnsi="Calibri"/>
          <w:sz w:val="22"/>
          <w:szCs w:val="22"/>
        </w:rPr>
      </w:pPr>
      <w:r w:rsidRPr="008C51ED">
        <w:rPr>
          <w:rFonts w:ascii="Calibri" w:hAnsi="Calibri"/>
          <w:sz w:val="22"/>
          <w:szCs w:val="22"/>
        </w:rPr>
        <w:t>August 14, 2014</w:t>
      </w:r>
    </w:p>
    <w:p w:rsidR="00B901AE" w:rsidRPr="00854EAF" w:rsidRDefault="00B901AE" w:rsidP="00B901AE">
      <w:pPr>
        <w:jc w:val="both"/>
        <w:rPr>
          <w:rFonts w:asciiTheme="minorHAnsi" w:hAnsiTheme="minorHAnsi"/>
          <w:sz w:val="22"/>
          <w:szCs w:val="22"/>
        </w:rPr>
      </w:pPr>
    </w:p>
    <w:p w:rsidR="00B901AE" w:rsidRPr="00854EAF" w:rsidRDefault="00B901AE" w:rsidP="00B901AE">
      <w:pPr>
        <w:jc w:val="both"/>
        <w:rPr>
          <w:rFonts w:asciiTheme="minorHAnsi" w:hAnsiTheme="minorHAnsi"/>
          <w:sz w:val="22"/>
          <w:szCs w:val="22"/>
        </w:rPr>
      </w:pPr>
    </w:p>
    <w:p w:rsidR="00B901AE" w:rsidRPr="00854EAF" w:rsidRDefault="00B901AE" w:rsidP="00B901AE">
      <w:pPr>
        <w:jc w:val="both"/>
        <w:rPr>
          <w:rFonts w:asciiTheme="minorHAnsi" w:hAnsiTheme="minorHAnsi"/>
          <w:sz w:val="22"/>
          <w:szCs w:val="22"/>
        </w:rPr>
      </w:pPr>
    </w:p>
    <w:p w:rsidR="007C2788" w:rsidRPr="00854EAF" w:rsidRDefault="007C2788" w:rsidP="00120B49">
      <w:pPr>
        <w:rPr>
          <w:rFonts w:asciiTheme="minorHAnsi" w:hAnsiTheme="minorHAnsi"/>
          <w:sz w:val="22"/>
          <w:szCs w:val="22"/>
        </w:rPr>
      </w:pPr>
      <w:r w:rsidRPr="00854EAF">
        <w:rPr>
          <w:rFonts w:asciiTheme="minorHAnsi" w:hAnsiTheme="minorHAnsi"/>
          <w:sz w:val="22"/>
          <w:szCs w:val="22"/>
        </w:rPr>
        <w:t>Dear Parents and Community Members:</w:t>
      </w:r>
    </w:p>
    <w:p w:rsidR="007C2788" w:rsidRPr="00A6103D" w:rsidRDefault="007C2788" w:rsidP="00120B49">
      <w:pPr>
        <w:rPr>
          <w:rFonts w:asciiTheme="minorHAnsi" w:hAnsiTheme="minorHAnsi"/>
          <w:sz w:val="20"/>
        </w:rPr>
      </w:pPr>
    </w:p>
    <w:p w:rsidR="007C2788" w:rsidRPr="00854EAF" w:rsidRDefault="007C2788" w:rsidP="00FE1721">
      <w:pPr>
        <w:jc w:val="both"/>
        <w:rPr>
          <w:rFonts w:asciiTheme="minorHAnsi" w:hAnsiTheme="minorHAnsi"/>
          <w:sz w:val="22"/>
          <w:szCs w:val="22"/>
        </w:rPr>
      </w:pPr>
      <w:r w:rsidRPr="00854EAF">
        <w:rPr>
          <w:rFonts w:asciiTheme="minorHAnsi" w:hAnsiTheme="minorHAnsi"/>
          <w:sz w:val="22"/>
          <w:szCs w:val="22"/>
        </w:rPr>
        <w:t xml:space="preserve">We are pleased to present you with the Annual Education Report (AER) which provides key information on the </w:t>
      </w:r>
      <w:r w:rsidR="0066743E" w:rsidRPr="00854EAF">
        <w:rPr>
          <w:rFonts w:asciiTheme="minorHAnsi" w:hAnsiTheme="minorHAnsi"/>
          <w:sz w:val="22"/>
          <w:szCs w:val="22"/>
        </w:rPr>
        <w:t>2013-2014</w:t>
      </w:r>
      <w:r w:rsidR="00120B49" w:rsidRPr="00854EAF">
        <w:rPr>
          <w:rFonts w:asciiTheme="minorHAnsi" w:hAnsiTheme="minorHAnsi"/>
          <w:sz w:val="22"/>
          <w:szCs w:val="22"/>
        </w:rPr>
        <w:t xml:space="preserve"> </w:t>
      </w:r>
      <w:r w:rsidRPr="00854EAF">
        <w:rPr>
          <w:rFonts w:asciiTheme="minorHAnsi" w:hAnsiTheme="minorHAnsi"/>
          <w:sz w:val="22"/>
          <w:szCs w:val="22"/>
        </w:rPr>
        <w:t xml:space="preserve">educational progress for </w:t>
      </w:r>
      <w:r w:rsidR="005672E7" w:rsidRPr="008424CB">
        <w:rPr>
          <w:rFonts w:ascii="Calibri" w:hAnsi="Calibri"/>
          <w:b/>
          <w:sz w:val="22"/>
          <w:szCs w:val="22"/>
        </w:rPr>
        <w:t>Rose City</w:t>
      </w:r>
      <w:r w:rsidR="00854EAF" w:rsidRPr="008424CB">
        <w:rPr>
          <w:rFonts w:ascii="Calibri" w:hAnsi="Calibri"/>
          <w:b/>
          <w:sz w:val="22"/>
          <w:szCs w:val="22"/>
        </w:rPr>
        <w:t xml:space="preserve"> School</w:t>
      </w:r>
      <w:r w:rsidRPr="00854EAF">
        <w:rPr>
          <w:rFonts w:asciiTheme="minorHAnsi" w:hAnsiTheme="minorHAnsi"/>
          <w:sz w:val="22"/>
          <w:szCs w:val="22"/>
        </w:rPr>
        <w:t xml:space="preserve">.  The AER addresses the complex reporting information required by federal and state laws. </w:t>
      </w:r>
      <w:r w:rsidR="00FE1721">
        <w:rPr>
          <w:rFonts w:asciiTheme="minorHAnsi" w:hAnsiTheme="minorHAnsi"/>
          <w:sz w:val="22"/>
          <w:szCs w:val="22"/>
        </w:rPr>
        <w:t xml:space="preserve"> </w:t>
      </w:r>
      <w:r w:rsidRPr="00854EAF">
        <w:rPr>
          <w:rFonts w:asciiTheme="minorHAnsi" w:hAnsiTheme="minorHAnsi"/>
          <w:sz w:val="22"/>
          <w:szCs w:val="22"/>
        </w:rPr>
        <w:t xml:space="preserve">The school’s report contains information about student assessment, </w:t>
      </w:r>
      <w:r w:rsidR="003D3704" w:rsidRPr="00854EAF">
        <w:rPr>
          <w:rFonts w:asciiTheme="minorHAnsi" w:hAnsiTheme="minorHAnsi"/>
          <w:sz w:val="22"/>
          <w:szCs w:val="22"/>
        </w:rPr>
        <w:t>accountability</w:t>
      </w:r>
      <w:r w:rsidRPr="00854EAF">
        <w:rPr>
          <w:rFonts w:asciiTheme="minorHAnsi" w:hAnsiTheme="minorHAnsi"/>
          <w:sz w:val="22"/>
          <w:szCs w:val="22"/>
        </w:rPr>
        <w:t xml:space="preserve"> and teacher quality. If you have any questions about the AER, please contact </w:t>
      </w:r>
      <w:r w:rsidR="00854EAF" w:rsidRPr="00854EAF">
        <w:rPr>
          <w:rFonts w:ascii="Calibri" w:hAnsi="Calibri"/>
          <w:sz w:val="22"/>
          <w:szCs w:val="22"/>
        </w:rPr>
        <w:t xml:space="preserve">Lorri Brunner, K-12 Curriculum </w:t>
      </w:r>
      <w:r w:rsidR="00DB712D">
        <w:rPr>
          <w:rFonts w:ascii="Calibri" w:hAnsi="Calibri"/>
          <w:sz w:val="22"/>
          <w:szCs w:val="22"/>
        </w:rPr>
        <w:t>Coordina</w:t>
      </w:r>
      <w:r w:rsidR="00854EAF" w:rsidRPr="00854EAF">
        <w:rPr>
          <w:rFonts w:ascii="Calibri" w:hAnsi="Calibri"/>
          <w:sz w:val="22"/>
          <w:szCs w:val="22"/>
        </w:rPr>
        <w:t xml:space="preserve">tor, </w:t>
      </w:r>
      <w:r w:rsidRPr="00854EAF">
        <w:rPr>
          <w:rFonts w:asciiTheme="minorHAnsi" w:hAnsiTheme="minorHAnsi"/>
          <w:sz w:val="22"/>
          <w:szCs w:val="22"/>
        </w:rPr>
        <w:t>for assistance.</w:t>
      </w:r>
    </w:p>
    <w:p w:rsidR="00A6103D" w:rsidRPr="00250DEC" w:rsidRDefault="00A6103D" w:rsidP="00A6103D">
      <w:pPr>
        <w:jc w:val="both"/>
        <w:rPr>
          <w:rFonts w:ascii="Calibri" w:hAnsi="Calibri"/>
          <w:sz w:val="20"/>
        </w:rPr>
      </w:pPr>
    </w:p>
    <w:p w:rsidR="00A6103D" w:rsidRDefault="00A6103D" w:rsidP="00A6103D">
      <w:pPr>
        <w:jc w:val="both"/>
        <w:rPr>
          <w:rFonts w:ascii="Calibri" w:hAnsi="Calibri"/>
          <w:sz w:val="22"/>
          <w:szCs w:val="22"/>
        </w:rPr>
      </w:pPr>
      <w:r w:rsidRPr="00250DEC">
        <w:rPr>
          <w:rFonts w:ascii="Calibri" w:hAnsi="Calibri"/>
          <w:sz w:val="22"/>
          <w:szCs w:val="22"/>
        </w:rPr>
        <w:t xml:space="preserve">The AER is available for you to review electronically by visiting the district web site </w:t>
      </w:r>
      <w:hyperlink r:id="rId10" w:history="1">
        <w:r w:rsidRPr="00250DEC">
          <w:rPr>
            <w:rStyle w:val="Hyperlink"/>
            <w:rFonts w:ascii="Calibri" w:hAnsi="Calibri"/>
            <w:sz w:val="22"/>
            <w:szCs w:val="22"/>
          </w:rPr>
          <w:t>www.wbrc.k12.mi.us</w:t>
        </w:r>
      </w:hyperlink>
      <w:r w:rsidRPr="00250DEC">
        <w:rPr>
          <w:rFonts w:ascii="Calibri" w:hAnsi="Calibri"/>
          <w:sz w:val="22"/>
          <w:szCs w:val="22"/>
        </w:rPr>
        <w:t xml:space="preserve"> and selecting </w:t>
      </w:r>
      <w:r w:rsidRPr="00250DEC">
        <w:rPr>
          <w:rFonts w:ascii="Calibri" w:hAnsi="Calibri"/>
          <w:b/>
          <w:sz w:val="22"/>
          <w:szCs w:val="22"/>
        </w:rPr>
        <w:t>Annual Education Reports</w:t>
      </w:r>
      <w:r w:rsidRPr="00250DEC">
        <w:rPr>
          <w:rFonts w:ascii="Calibri" w:hAnsi="Calibri"/>
          <w:sz w:val="22"/>
          <w:szCs w:val="22"/>
        </w:rPr>
        <w:t xml:space="preserve"> under </w:t>
      </w:r>
      <w:r w:rsidRPr="00250DEC">
        <w:rPr>
          <w:rFonts w:ascii="Calibri" w:hAnsi="Calibri"/>
          <w:b/>
          <w:sz w:val="22"/>
          <w:szCs w:val="22"/>
        </w:rPr>
        <w:t>ACADEMICS</w:t>
      </w:r>
      <w:r w:rsidRPr="00250DEC">
        <w:rPr>
          <w:rFonts w:ascii="Calibri" w:hAnsi="Calibri"/>
          <w:sz w:val="22"/>
          <w:szCs w:val="22"/>
        </w:rPr>
        <w:t xml:space="preserve"> or by using the following direct link to the report:  </w:t>
      </w:r>
      <w:hyperlink r:id="rId11" w:history="1">
        <w:r w:rsidR="007C57AF" w:rsidRPr="00CD2FBD">
          <w:rPr>
            <w:rStyle w:val="Hyperlink"/>
            <w:rFonts w:ascii="Calibri" w:hAnsi="Calibri"/>
            <w:sz w:val="22"/>
            <w:szCs w:val="22"/>
          </w:rPr>
          <w:t>http://www.wbrc.k12.mi.us/downloads/annual_reports/aer_2014_rcs.pdf.pdf</w:t>
        </w:r>
      </w:hyperlink>
      <w:r>
        <w:rPr>
          <w:rFonts w:ascii="Calibri" w:hAnsi="Calibri"/>
          <w:sz w:val="22"/>
          <w:szCs w:val="22"/>
        </w:rPr>
        <w:t>.  Y</w:t>
      </w:r>
      <w:r w:rsidRPr="0095086D">
        <w:rPr>
          <w:rFonts w:ascii="Calibri" w:hAnsi="Calibri"/>
          <w:sz w:val="22"/>
          <w:szCs w:val="22"/>
        </w:rPr>
        <w:t xml:space="preserve">ou may </w:t>
      </w:r>
      <w:r>
        <w:rPr>
          <w:rFonts w:ascii="Calibri" w:hAnsi="Calibri"/>
          <w:sz w:val="22"/>
          <w:szCs w:val="22"/>
        </w:rPr>
        <w:t xml:space="preserve">also </w:t>
      </w:r>
      <w:r w:rsidRPr="0095086D">
        <w:rPr>
          <w:rFonts w:ascii="Calibri" w:hAnsi="Calibri"/>
          <w:sz w:val="22"/>
          <w:szCs w:val="22"/>
        </w:rPr>
        <w:t xml:space="preserve">review a copy </w:t>
      </w:r>
      <w:r>
        <w:rPr>
          <w:rFonts w:ascii="Calibri" w:hAnsi="Calibri"/>
          <w:sz w:val="22"/>
          <w:szCs w:val="22"/>
        </w:rPr>
        <w:t xml:space="preserve">of the report </w:t>
      </w:r>
      <w:r w:rsidRPr="0095086D">
        <w:rPr>
          <w:rFonts w:ascii="Calibri" w:hAnsi="Calibri"/>
          <w:sz w:val="22"/>
          <w:szCs w:val="22"/>
        </w:rPr>
        <w:t>in the principal’s office at your child’s school.</w:t>
      </w:r>
    </w:p>
    <w:p w:rsidR="00A6103D" w:rsidRPr="00250DEC" w:rsidRDefault="00A6103D" w:rsidP="00A6103D">
      <w:pPr>
        <w:jc w:val="both"/>
        <w:rPr>
          <w:rFonts w:ascii="Calibri" w:hAnsi="Calibri"/>
          <w:sz w:val="20"/>
        </w:rPr>
      </w:pPr>
    </w:p>
    <w:p w:rsidR="006608EB" w:rsidRPr="00854EAF" w:rsidRDefault="006608EB" w:rsidP="00FE1721">
      <w:pPr>
        <w:jc w:val="both"/>
        <w:rPr>
          <w:rFonts w:asciiTheme="minorHAnsi" w:hAnsiTheme="minorHAnsi"/>
          <w:sz w:val="22"/>
          <w:szCs w:val="22"/>
        </w:rPr>
      </w:pPr>
      <w:r w:rsidRPr="00854EAF">
        <w:rPr>
          <w:rFonts w:asciiTheme="minorHAnsi" w:hAnsiTheme="minorHAnsi"/>
          <w:sz w:val="22"/>
          <w:szCs w:val="22"/>
        </w:rPr>
        <w:t>The state has identified some schools with the status of Reward, Focus or Priority. A Reward school is one that is outperforming other schools in achievement, growth, or is performing better than other schools with a similar student population. A Focus school is one that has a large achievement gap in 30% of its student achievement scores. A Priority school is one whose achievement and growth is in the lowest 5% of all schools in the state.</w:t>
      </w:r>
    </w:p>
    <w:p w:rsidR="006608EB" w:rsidRPr="00A6103D" w:rsidRDefault="006608EB" w:rsidP="00120B49">
      <w:pPr>
        <w:rPr>
          <w:rFonts w:asciiTheme="minorHAnsi" w:hAnsiTheme="minorHAnsi"/>
          <w:sz w:val="20"/>
        </w:rPr>
      </w:pPr>
    </w:p>
    <w:p w:rsidR="00DB712D" w:rsidRPr="00DB712D" w:rsidRDefault="00DB712D" w:rsidP="00DB712D">
      <w:pPr>
        <w:jc w:val="both"/>
        <w:rPr>
          <w:rFonts w:ascii="Calibri" w:hAnsi="Calibri"/>
          <w:sz w:val="22"/>
          <w:szCs w:val="22"/>
        </w:rPr>
      </w:pPr>
      <w:r w:rsidRPr="00DB712D">
        <w:rPr>
          <w:rFonts w:ascii="Calibri" w:hAnsi="Calibri"/>
          <w:sz w:val="22"/>
          <w:szCs w:val="22"/>
        </w:rPr>
        <w:t xml:space="preserve">Our school has </w:t>
      </w:r>
      <w:r w:rsidRPr="00DB712D">
        <w:rPr>
          <w:rFonts w:ascii="Calibri" w:hAnsi="Calibri"/>
          <w:sz w:val="22"/>
          <w:szCs w:val="22"/>
          <w:shd w:val="clear" w:color="auto" w:fill="FFFFFF"/>
        </w:rPr>
        <w:t>not been given one of these labels</w:t>
      </w:r>
      <w:r w:rsidRPr="00DB712D">
        <w:rPr>
          <w:rFonts w:ascii="Calibri" w:hAnsi="Calibri"/>
          <w:sz w:val="22"/>
          <w:szCs w:val="22"/>
        </w:rPr>
        <w:t>.</w:t>
      </w:r>
    </w:p>
    <w:p w:rsidR="00063296" w:rsidRPr="00A6103D" w:rsidRDefault="00063296" w:rsidP="00120B49">
      <w:pPr>
        <w:rPr>
          <w:rFonts w:asciiTheme="minorHAnsi" w:hAnsiTheme="minorHAnsi"/>
          <w:sz w:val="20"/>
        </w:rPr>
      </w:pPr>
    </w:p>
    <w:p w:rsidR="00E13237" w:rsidRPr="00B11458" w:rsidRDefault="00E13237" w:rsidP="00E13237">
      <w:pPr>
        <w:rPr>
          <w:rFonts w:ascii="Calibri" w:hAnsi="Calibri"/>
          <w:b/>
          <w:sz w:val="22"/>
          <w:szCs w:val="22"/>
        </w:rPr>
      </w:pPr>
      <w:r>
        <w:rPr>
          <w:rFonts w:ascii="Calibri" w:hAnsi="Calibri"/>
          <w:b/>
          <w:sz w:val="22"/>
          <w:szCs w:val="22"/>
        </w:rPr>
        <w:t>Key I</w:t>
      </w:r>
      <w:r w:rsidRPr="00B11458">
        <w:rPr>
          <w:rFonts w:ascii="Calibri" w:hAnsi="Calibri"/>
          <w:b/>
          <w:sz w:val="22"/>
          <w:szCs w:val="22"/>
        </w:rPr>
        <w:t xml:space="preserve">nitiatives to </w:t>
      </w:r>
      <w:r>
        <w:rPr>
          <w:rFonts w:ascii="Calibri" w:hAnsi="Calibri"/>
          <w:b/>
          <w:sz w:val="22"/>
          <w:szCs w:val="22"/>
        </w:rPr>
        <w:t>A</w:t>
      </w:r>
      <w:r w:rsidRPr="00B11458">
        <w:rPr>
          <w:rFonts w:ascii="Calibri" w:hAnsi="Calibri"/>
          <w:b/>
          <w:sz w:val="22"/>
          <w:szCs w:val="22"/>
        </w:rPr>
        <w:t xml:space="preserve">ccelerate </w:t>
      </w:r>
      <w:r>
        <w:rPr>
          <w:rFonts w:ascii="Calibri" w:hAnsi="Calibri"/>
          <w:b/>
          <w:sz w:val="22"/>
          <w:szCs w:val="22"/>
        </w:rPr>
        <w:t>A</w:t>
      </w:r>
      <w:r w:rsidRPr="00B11458">
        <w:rPr>
          <w:rFonts w:ascii="Calibri" w:hAnsi="Calibri"/>
          <w:b/>
          <w:sz w:val="22"/>
          <w:szCs w:val="22"/>
        </w:rPr>
        <w:t>chievement</w:t>
      </w:r>
      <w:r>
        <w:rPr>
          <w:rFonts w:ascii="Calibri" w:hAnsi="Calibri"/>
          <w:b/>
          <w:sz w:val="22"/>
          <w:szCs w:val="22"/>
        </w:rPr>
        <w:t xml:space="preserve"> and Close Achievement Gaps</w:t>
      </w:r>
    </w:p>
    <w:p w:rsidR="00DB712D" w:rsidRPr="00DB712D" w:rsidRDefault="00DB712D" w:rsidP="00DB712D">
      <w:pPr>
        <w:autoSpaceDE w:val="0"/>
        <w:autoSpaceDN w:val="0"/>
        <w:adjustRightInd w:val="0"/>
        <w:jc w:val="both"/>
        <w:rPr>
          <w:rFonts w:ascii="Calibri" w:hAnsi="Calibri"/>
          <w:sz w:val="22"/>
          <w:szCs w:val="22"/>
        </w:rPr>
      </w:pPr>
      <w:r w:rsidRPr="00DB712D">
        <w:rPr>
          <w:rFonts w:ascii="Calibri" w:hAnsi="Calibri"/>
          <w:sz w:val="22"/>
          <w:szCs w:val="22"/>
        </w:rPr>
        <w:t>A new subgroup has been added for accountability purposes:  the bottom 30 percent.  Each building in the district struggled to meet the achievement target for this subgroup.  Two key initiatives are being undertaken in the school to accelerate student achievement and close gaps in achievement.  Teachers are expected to use formative and interim data on a regular basis to differentiate instruction.  Teachers are also expected to make the instructional shifts necessary to fully implement the Common Core State Standards in English Language Arts and Mathematics.  Accelerating academic achievement for all students is an expectation across the curriculum and will be accomplished by strengthening Tier 1 instruction and providing Tier 2 and Tier 3 support for students through frequent progress monitoring, instructional interventions, and extended day and extended year programs.</w:t>
      </w:r>
    </w:p>
    <w:p w:rsidR="00DB712D" w:rsidRPr="00A6103D" w:rsidRDefault="00DB712D" w:rsidP="00DB712D">
      <w:pPr>
        <w:jc w:val="both"/>
        <w:rPr>
          <w:rFonts w:ascii="Calibri" w:hAnsi="Calibri"/>
          <w:sz w:val="20"/>
        </w:rPr>
      </w:pPr>
    </w:p>
    <w:p w:rsidR="00EC56DF" w:rsidRDefault="00EC56DF" w:rsidP="00EC56DF">
      <w:pPr>
        <w:jc w:val="both"/>
        <w:rPr>
          <w:rFonts w:ascii="Calibri" w:hAnsi="Calibri"/>
          <w:sz w:val="22"/>
          <w:szCs w:val="22"/>
        </w:rPr>
      </w:pPr>
      <w:r w:rsidRPr="00EC56DF">
        <w:rPr>
          <w:rFonts w:ascii="Calibri" w:hAnsi="Calibri"/>
          <w:sz w:val="22"/>
          <w:szCs w:val="22"/>
        </w:rPr>
        <w:t xml:space="preserve">State law requires that we also report additional information for the past two years. </w:t>
      </w:r>
      <w:r w:rsidR="00310CA6">
        <w:rPr>
          <w:rFonts w:ascii="Calibri" w:hAnsi="Calibri"/>
          <w:sz w:val="22"/>
          <w:szCs w:val="22"/>
        </w:rPr>
        <w:t xml:space="preserve"> </w:t>
      </w:r>
      <w:r w:rsidRPr="00EC56DF">
        <w:rPr>
          <w:rFonts w:ascii="Calibri" w:hAnsi="Calibri"/>
          <w:sz w:val="22"/>
          <w:szCs w:val="22"/>
        </w:rPr>
        <w:t xml:space="preserve">Below is a brief summary of the required information.  More detailed information is provided in the annual reports developed by the building principals and the district curriculum </w:t>
      </w:r>
      <w:r>
        <w:rPr>
          <w:rFonts w:ascii="Calibri" w:hAnsi="Calibri"/>
          <w:sz w:val="22"/>
          <w:szCs w:val="22"/>
        </w:rPr>
        <w:t>coordina</w:t>
      </w:r>
      <w:r w:rsidRPr="00EC56DF">
        <w:rPr>
          <w:rFonts w:ascii="Calibri" w:hAnsi="Calibri"/>
          <w:sz w:val="22"/>
          <w:szCs w:val="22"/>
        </w:rPr>
        <w:t xml:space="preserve">tor.  These reports are available on the district website </w:t>
      </w:r>
      <w:hyperlink r:id="rId12" w:history="1">
        <w:r w:rsidRPr="00DB712D">
          <w:rPr>
            <w:rStyle w:val="Hyperlink"/>
            <w:rFonts w:ascii="Calibri" w:hAnsi="Calibri"/>
            <w:sz w:val="22"/>
            <w:szCs w:val="22"/>
          </w:rPr>
          <w:t>www.wbrc.k12.mi.us</w:t>
        </w:r>
      </w:hyperlink>
      <w:r w:rsidRPr="00EC56DF">
        <w:rPr>
          <w:rFonts w:ascii="Calibri" w:hAnsi="Calibri"/>
          <w:sz w:val="22"/>
          <w:szCs w:val="22"/>
        </w:rPr>
        <w:t>.</w:t>
      </w:r>
    </w:p>
    <w:p w:rsidR="00EC56DF" w:rsidRPr="00310CA6" w:rsidRDefault="00EC56DF" w:rsidP="00EC56DF">
      <w:pPr>
        <w:jc w:val="both"/>
        <w:rPr>
          <w:rFonts w:ascii="Calibri" w:hAnsi="Calibri"/>
          <w:sz w:val="16"/>
          <w:szCs w:val="16"/>
        </w:rPr>
      </w:pPr>
    </w:p>
    <w:p w:rsidR="00EC56DF" w:rsidRPr="00EC56DF" w:rsidRDefault="00EC56DF" w:rsidP="00EC56DF">
      <w:pPr>
        <w:pStyle w:val="ListParagraph"/>
        <w:numPr>
          <w:ilvl w:val="0"/>
          <w:numId w:val="21"/>
        </w:numPr>
        <w:tabs>
          <w:tab w:val="clear" w:pos="1080"/>
          <w:tab w:val="num" w:pos="360"/>
        </w:tabs>
        <w:spacing w:after="0" w:line="240" w:lineRule="auto"/>
        <w:ind w:left="360"/>
        <w:jc w:val="both"/>
        <w:rPr>
          <w:b/>
        </w:rPr>
      </w:pPr>
      <w:r w:rsidRPr="00EC56DF">
        <w:rPr>
          <w:b/>
        </w:rPr>
        <w:t>Process for Assigning Pupils to Schools</w:t>
      </w:r>
    </w:p>
    <w:p w:rsidR="00EC56DF" w:rsidRPr="00EC56DF" w:rsidRDefault="00EC56DF" w:rsidP="00EC56DF">
      <w:pPr>
        <w:tabs>
          <w:tab w:val="left" w:pos="360"/>
        </w:tabs>
        <w:ind w:left="360"/>
        <w:jc w:val="both"/>
        <w:rPr>
          <w:rFonts w:ascii="Calibri" w:hAnsi="Calibri"/>
          <w:sz w:val="22"/>
          <w:szCs w:val="22"/>
        </w:rPr>
      </w:pPr>
      <w:r w:rsidRPr="00EC56DF">
        <w:rPr>
          <w:rFonts w:ascii="Calibri" w:hAnsi="Calibri"/>
          <w:sz w:val="22"/>
          <w:szCs w:val="22"/>
        </w:rPr>
        <w:t>The West Branch-Rose City school district services most of Ogemaw county and parts of Gladwin and Oscoda counties and covers an area of approximately 538 square miles. Students are assigned to the K-</w:t>
      </w:r>
      <w:r>
        <w:rPr>
          <w:rFonts w:ascii="Calibri" w:hAnsi="Calibri"/>
          <w:sz w:val="22"/>
          <w:szCs w:val="22"/>
        </w:rPr>
        <w:t>6</w:t>
      </w:r>
      <w:r w:rsidRPr="00EC56DF">
        <w:rPr>
          <w:rFonts w:ascii="Calibri" w:hAnsi="Calibri"/>
          <w:sz w:val="22"/>
          <w:szCs w:val="22"/>
        </w:rPr>
        <w:t xml:space="preserve"> buildings based on traditional boundaries for established attendance areas.  Parents can contact the transportation department at 343.2240 with inquiries regarding the attendance areas.</w:t>
      </w:r>
    </w:p>
    <w:p w:rsidR="00EC56DF" w:rsidRPr="002E3C67" w:rsidRDefault="00EC56DF" w:rsidP="002E3C67">
      <w:pPr>
        <w:pStyle w:val="ListParagraph"/>
        <w:numPr>
          <w:ilvl w:val="0"/>
          <w:numId w:val="21"/>
        </w:numPr>
        <w:tabs>
          <w:tab w:val="clear" w:pos="1080"/>
          <w:tab w:val="num" w:pos="360"/>
        </w:tabs>
        <w:spacing w:after="0" w:line="240" w:lineRule="auto"/>
        <w:ind w:left="360"/>
        <w:jc w:val="both"/>
        <w:rPr>
          <w:b/>
        </w:rPr>
      </w:pPr>
      <w:r w:rsidRPr="00EC56DF">
        <w:rPr>
          <w:b/>
        </w:rPr>
        <w:br w:type="page"/>
      </w:r>
      <w:r w:rsidRPr="00EC56DF">
        <w:rPr>
          <w:b/>
        </w:rPr>
        <w:lastRenderedPageBreak/>
        <w:t>Status of the 3-5 Year School Improvement Plan</w:t>
      </w:r>
    </w:p>
    <w:p w:rsidR="00EC56DF" w:rsidRPr="00EC56DF" w:rsidRDefault="00EC56DF" w:rsidP="00EC56DF">
      <w:pPr>
        <w:ind w:left="360"/>
        <w:jc w:val="both"/>
        <w:rPr>
          <w:rFonts w:ascii="Calibri" w:hAnsi="Calibri"/>
          <w:sz w:val="22"/>
          <w:szCs w:val="22"/>
        </w:rPr>
      </w:pPr>
      <w:r w:rsidRPr="00EC56DF">
        <w:rPr>
          <w:rFonts w:ascii="Calibri" w:hAnsi="Calibri"/>
          <w:sz w:val="22"/>
          <w:szCs w:val="22"/>
        </w:rPr>
        <w:t xml:space="preserve">The district improvement plan identifies the academic goals for all district students, including a measurable objective, strategy and activity details, and required fiscal resources.  Each building submits a school improvement plan that is aligned to the district plan but has the flexibility to focus on action plans specific to the needs of the students in that building identified in the School Data Analysis. The building school improvement team evaluates the effectiveness of the plan and reports progress toward achieving the school improvement goals to the district school improvement team each spring. School improvement documents are available in each building, at central office, and on the web site </w:t>
      </w:r>
      <w:hyperlink r:id="rId13" w:history="1">
        <w:r w:rsidRPr="00DB712D">
          <w:rPr>
            <w:rStyle w:val="Hyperlink"/>
            <w:rFonts w:ascii="Calibri" w:hAnsi="Calibri"/>
            <w:sz w:val="22"/>
            <w:szCs w:val="22"/>
          </w:rPr>
          <w:t>www.wbrc.k12.mi.us</w:t>
        </w:r>
      </w:hyperlink>
      <w:r w:rsidRPr="00EC56DF">
        <w:rPr>
          <w:rFonts w:ascii="Calibri" w:hAnsi="Calibri"/>
          <w:sz w:val="22"/>
          <w:szCs w:val="22"/>
        </w:rPr>
        <w:t>.</w:t>
      </w:r>
    </w:p>
    <w:p w:rsidR="00EC56DF" w:rsidRPr="00310CA6" w:rsidRDefault="00EC56DF" w:rsidP="00EC56DF">
      <w:pPr>
        <w:jc w:val="both"/>
        <w:rPr>
          <w:rFonts w:ascii="Calibri" w:hAnsi="Calibri"/>
          <w:sz w:val="16"/>
          <w:szCs w:val="16"/>
        </w:rPr>
      </w:pPr>
    </w:p>
    <w:p w:rsidR="00EC56DF" w:rsidRPr="00EC56DF" w:rsidRDefault="00EC56DF" w:rsidP="00EC56DF">
      <w:pPr>
        <w:pStyle w:val="ListParagraph"/>
        <w:numPr>
          <w:ilvl w:val="0"/>
          <w:numId w:val="21"/>
        </w:numPr>
        <w:tabs>
          <w:tab w:val="clear" w:pos="1080"/>
          <w:tab w:val="num" w:pos="360"/>
        </w:tabs>
        <w:spacing w:after="0" w:line="240" w:lineRule="auto"/>
        <w:ind w:left="360"/>
        <w:jc w:val="both"/>
        <w:rPr>
          <w:b/>
        </w:rPr>
      </w:pPr>
      <w:r w:rsidRPr="00EC56DF">
        <w:rPr>
          <w:b/>
        </w:rPr>
        <w:t>Description of Each Specialized School</w:t>
      </w:r>
    </w:p>
    <w:p w:rsidR="00EC56DF" w:rsidRPr="00EC56DF" w:rsidRDefault="00EC56DF" w:rsidP="00EC56DF">
      <w:pPr>
        <w:pStyle w:val="BodyText"/>
        <w:tabs>
          <w:tab w:val="left" w:pos="360"/>
        </w:tabs>
        <w:ind w:left="360"/>
        <w:jc w:val="both"/>
        <w:rPr>
          <w:rFonts w:ascii="Calibri" w:hAnsi="Calibri"/>
          <w:b w:val="0"/>
          <w:sz w:val="22"/>
          <w:szCs w:val="22"/>
        </w:rPr>
      </w:pPr>
      <w:r w:rsidRPr="00EC56DF">
        <w:rPr>
          <w:rFonts w:ascii="Calibri" w:hAnsi="Calibri"/>
          <w:b w:val="0"/>
          <w:sz w:val="22"/>
          <w:szCs w:val="22"/>
        </w:rPr>
        <w:t xml:space="preserve">The district’s four-year-old program is designed to give students a start on school skills before entering kindergarten.  Both elementary and middle school buildings qualify as schoolwide Title 1 buildings, and students receive services accordingly. Besides in-district programs for students with specialized learning needs, students who are eligible may access the C.O.O.R. Educational Center at the ISD site. The purpose of the center is to provide services to students with specialized disabilities as defined by state statute. </w:t>
      </w:r>
    </w:p>
    <w:p w:rsidR="00EC56DF" w:rsidRPr="00310CA6" w:rsidRDefault="00EC56DF" w:rsidP="00EC56DF">
      <w:pPr>
        <w:jc w:val="both"/>
        <w:rPr>
          <w:rFonts w:ascii="Calibri" w:hAnsi="Calibri"/>
          <w:sz w:val="16"/>
          <w:szCs w:val="16"/>
        </w:rPr>
      </w:pPr>
    </w:p>
    <w:p w:rsidR="00EC56DF" w:rsidRPr="00EC56DF" w:rsidRDefault="00EC56DF" w:rsidP="00EC56DF">
      <w:pPr>
        <w:pStyle w:val="ListParagraph"/>
        <w:numPr>
          <w:ilvl w:val="0"/>
          <w:numId w:val="21"/>
        </w:numPr>
        <w:tabs>
          <w:tab w:val="clear" w:pos="1080"/>
          <w:tab w:val="num" w:pos="360"/>
        </w:tabs>
        <w:spacing w:after="0" w:line="240" w:lineRule="auto"/>
        <w:ind w:left="360"/>
        <w:jc w:val="both"/>
        <w:rPr>
          <w:b/>
        </w:rPr>
      </w:pPr>
      <w:r w:rsidRPr="00EC56DF">
        <w:rPr>
          <w:b/>
        </w:rPr>
        <w:t>Core Curriculum</w:t>
      </w:r>
    </w:p>
    <w:p w:rsidR="00EC56DF" w:rsidRPr="00EC56DF" w:rsidRDefault="00EC56DF" w:rsidP="00EC56DF">
      <w:pPr>
        <w:pStyle w:val="BodyText"/>
        <w:tabs>
          <w:tab w:val="left" w:pos="360"/>
        </w:tabs>
        <w:ind w:left="360"/>
        <w:jc w:val="both"/>
        <w:rPr>
          <w:rFonts w:ascii="Calibri" w:hAnsi="Calibri"/>
          <w:b w:val="0"/>
          <w:sz w:val="22"/>
          <w:szCs w:val="22"/>
        </w:rPr>
      </w:pPr>
      <w:r w:rsidRPr="00EC56DF">
        <w:rPr>
          <w:rFonts w:ascii="Calibri" w:hAnsi="Calibri"/>
          <w:b w:val="0"/>
          <w:sz w:val="22"/>
          <w:szCs w:val="22"/>
        </w:rPr>
        <w:t xml:space="preserve">The district has a long-range plan for curricular review and implementation. One or two content areas are fully reviewed each year and updates are made where necessary. </w:t>
      </w:r>
      <w:r w:rsidR="00FE1721">
        <w:rPr>
          <w:rFonts w:ascii="Calibri" w:hAnsi="Calibri"/>
          <w:b w:val="0"/>
          <w:sz w:val="22"/>
          <w:szCs w:val="22"/>
        </w:rPr>
        <w:t>T</w:t>
      </w:r>
      <w:r w:rsidRPr="00EC56DF">
        <w:rPr>
          <w:rFonts w:ascii="Calibri" w:hAnsi="Calibri"/>
          <w:b w:val="0"/>
          <w:sz w:val="22"/>
          <w:szCs w:val="22"/>
        </w:rPr>
        <w:t xml:space="preserve">he </w:t>
      </w:r>
      <w:r w:rsidR="00FE1721">
        <w:rPr>
          <w:rFonts w:ascii="Calibri" w:hAnsi="Calibri"/>
          <w:b w:val="0"/>
          <w:sz w:val="22"/>
          <w:szCs w:val="22"/>
        </w:rPr>
        <w:t xml:space="preserve">English Language Arts and </w:t>
      </w:r>
      <w:r w:rsidRPr="00EC56DF">
        <w:rPr>
          <w:rFonts w:ascii="Calibri" w:hAnsi="Calibri"/>
          <w:b w:val="0"/>
          <w:sz w:val="22"/>
          <w:szCs w:val="22"/>
        </w:rPr>
        <w:t xml:space="preserve">Mathematics curriculum </w:t>
      </w:r>
      <w:r w:rsidR="00FE1721">
        <w:rPr>
          <w:rFonts w:ascii="Calibri" w:hAnsi="Calibri"/>
          <w:b w:val="0"/>
          <w:sz w:val="22"/>
          <w:szCs w:val="22"/>
        </w:rPr>
        <w:t>i</w:t>
      </w:r>
      <w:r w:rsidRPr="00EC56DF">
        <w:rPr>
          <w:rFonts w:ascii="Calibri" w:hAnsi="Calibri"/>
          <w:b w:val="0"/>
          <w:sz w:val="22"/>
          <w:szCs w:val="22"/>
        </w:rPr>
        <w:t>s aligned to the Common Core State Standards</w:t>
      </w:r>
      <w:r>
        <w:rPr>
          <w:rFonts w:ascii="Calibri" w:hAnsi="Calibri"/>
          <w:b w:val="0"/>
          <w:sz w:val="22"/>
          <w:szCs w:val="22"/>
        </w:rPr>
        <w:t xml:space="preserve">. </w:t>
      </w:r>
      <w:r w:rsidRPr="00EC56DF">
        <w:rPr>
          <w:rFonts w:ascii="Calibri" w:hAnsi="Calibri"/>
          <w:b w:val="0"/>
          <w:sz w:val="22"/>
          <w:szCs w:val="22"/>
        </w:rPr>
        <w:t xml:space="preserve"> All other curriculum content areas are aligned to the Michigan Grade Level Content Expectations for Grades K-8 (GLCEs) and the High School Content Expectations for Grades 9-12 (HSCEs).  </w:t>
      </w:r>
      <w:r>
        <w:rPr>
          <w:rFonts w:ascii="Calibri" w:hAnsi="Calibri"/>
          <w:b w:val="0"/>
          <w:sz w:val="22"/>
          <w:szCs w:val="22"/>
        </w:rPr>
        <w:t>I</w:t>
      </w:r>
      <w:r w:rsidRPr="00EC56DF">
        <w:rPr>
          <w:rFonts w:ascii="Calibri" w:hAnsi="Calibri"/>
          <w:b w:val="0"/>
          <w:sz w:val="22"/>
          <w:szCs w:val="22"/>
        </w:rPr>
        <w:t>n 201</w:t>
      </w:r>
      <w:r>
        <w:rPr>
          <w:rFonts w:ascii="Calibri" w:hAnsi="Calibri"/>
          <w:b w:val="0"/>
          <w:sz w:val="22"/>
          <w:szCs w:val="22"/>
        </w:rPr>
        <w:t>3</w:t>
      </w:r>
      <w:r w:rsidRPr="00EC56DF">
        <w:rPr>
          <w:rFonts w:ascii="Calibri" w:hAnsi="Calibri"/>
          <w:b w:val="0"/>
          <w:sz w:val="22"/>
          <w:szCs w:val="22"/>
        </w:rPr>
        <w:t>-201</w:t>
      </w:r>
      <w:r>
        <w:rPr>
          <w:rFonts w:ascii="Calibri" w:hAnsi="Calibri"/>
          <w:b w:val="0"/>
          <w:sz w:val="22"/>
          <w:szCs w:val="22"/>
        </w:rPr>
        <w:t>4 the Science curriculum and the Health curriculum were reviewed and updated to ensure students meet the Michigan content expectations</w:t>
      </w:r>
      <w:r w:rsidRPr="00EC56DF">
        <w:rPr>
          <w:rFonts w:ascii="Calibri" w:hAnsi="Calibri"/>
          <w:b w:val="0"/>
          <w:sz w:val="22"/>
          <w:szCs w:val="22"/>
        </w:rPr>
        <w:t>.  The curriculum is presented in the form of pacing guides or standards checklists.  Copies of these documents and the standards and expectations are available at each building and at central office.</w:t>
      </w:r>
    </w:p>
    <w:p w:rsidR="00EC56DF" w:rsidRPr="00310CA6" w:rsidRDefault="00EC56DF" w:rsidP="00EC56DF">
      <w:pPr>
        <w:jc w:val="both"/>
        <w:rPr>
          <w:rFonts w:ascii="Calibri" w:hAnsi="Calibri"/>
          <w:sz w:val="16"/>
          <w:szCs w:val="16"/>
        </w:rPr>
      </w:pPr>
    </w:p>
    <w:p w:rsidR="008C51ED" w:rsidRPr="008C51ED" w:rsidRDefault="008C51ED" w:rsidP="008C51ED">
      <w:pPr>
        <w:pStyle w:val="ListParagraph"/>
        <w:numPr>
          <w:ilvl w:val="0"/>
          <w:numId w:val="21"/>
        </w:numPr>
        <w:tabs>
          <w:tab w:val="clear" w:pos="1080"/>
          <w:tab w:val="num" w:pos="360"/>
        </w:tabs>
        <w:spacing w:after="0" w:line="240" w:lineRule="auto"/>
        <w:ind w:left="360"/>
        <w:jc w:val="both"/>
        <w:rPr>
          <w:b/>
        </w:rPr>
      </w:pPr>
      <w:r w:rsidRPr="008C51ED">
        <w:rPr>
          <w:b/>
        </w:rPr>
        <w:t>Student Achievement Results for Nationally Normed Achievement Tests</w:t>
      </w:r>
    </w:p>
    <w:p w:rsidR="008C51ED" w:rsidRPr="008C51ED" w:rsidRDefault="008C51ED" w:rsidP="008C51ED">
      <w:pPr>
        <w:ind w:left="360"/>
        <w:jc w:val="both"/>
        <w:rPr>
          <w:rFonts w:ascii="Calibri" w:hAnsi="Calibri"/>
          <w:sz w:val="22"/>
          <w:szCs w:val="22"/>
        </w:rPr>
      </w:pPr>
      <w:r w:rsidRPr="008C51ED">
        <w:rPr>
          <w:rFonts w:ascii="Calibri" w:hAnsi="Calibri"/>
          <w:sz w:val="22"/>
          <w:szCs w:val="22"/>
          <w:shd w:val="clear" w:color="auto" w:fill="FFFFFF"/>
        </w:rPr>
        <w:t>NWEA (</w:t>
      </w:r>
      <w:r w:rsidRPr="008C51ED">
        <w:rPr>
          <w:rFonts w:ascii="Calibri" w:hAnsi="Calibri"/>
          <w:sz w:val="22"/>
          <w:szCs w:val="22"/>
        </w:rPr>
        <w:t xml:space="preserve">Northwest Evaluation Association) </w:t>
      </w:r>
      <w:r w:rsidRPr="008C51ED">
        <w:rPr>
          <w:rFonts w:ascii="Calibri" w:hAnsi="Calibri"/>
          <w:sz w:val="22"/>
          <w:szCs w:val="22"/>
          <w:shd w:val="clear" w:color="auto" w:fill="FFFFFF"/>
        </w:rPr>
        <w:t>was</w:t>
      </w:r>
      <w:r w:rsidRPr="008C51ED">
        <w:rPr>
          <w:rFonts w:ascii="Calibri" w:hAnsi="Calibri"/>
          <w:sz w:val="22"/>
          <w:szCs w:val="22"/>
        </w:rPr>
        <w:t xml:space="preserve"> administered to students in grades K-8 in 2012-2013 </w:t>
      </w:r>
      <w:r>
        <w:rPr>
          <w:rFonts w:ascii="Calibri" w:hAnsi="Calibri"/>
          <w:sz w:val="22"/>
          <w:szCs w:val="22"/>
        </w:rPr>
        <w:t>and to students in grades K-6 in 2013-2014</w:t>
      </w:r>
      <w:r w:rsidRPr="008C51ED">
        <w:rPr>
          <w:rFonts w:ascii="Calibri" w:hAnsi="Calibri"/>
          <w:sz w:val="22"/>
          <w:szCs w:val="22"/>
        </w:rPr>
        <w:t>.</w:t>
      </w:r>
      <w:r w:rsidRPr="008C51ED">
        <w:rPr>
          <w:rFonts w:ascii="Calibri" w:hAnsi="Calibri"/>
          <w:sz w:val="22"/>
          <w:szCs w:val="22"/>
          <w:shd w:val="clear" w:color="auto" w:fill="FFFFFF"/>
        </w:rPr>
        <w:t xml:space="preserve">  </w:t>
      </w:r>
      <w:r>
        <w:rPr>
          <w:rFonts w:ascii="Calibri" w:hAnsi="Calibri"/>
          <w:sz w:val="22"/>
          <w:szCs w:val="22"/>
          <w:shd w:val="clear" w:color="auto" w:fill="FFFFFF"/>
        </w:rPr>
        <w:t>R</w:t>
      </w:r>
      <w:r w:rsidRPr="008C51ED">
        <w:rPr>
          <w:rFonts w:ascii="Calibri" w:hAnsi="Calibri"/>
          <w:sz w:val="22"/>
          <w:szCs w:val="22"/>
          <w:shd w:val="clear" w:color="auto" w:fill="FFFFFF"/>
        </w:rPr>
        <w:t>esults are as follows</w:t>
      </w:r>
      <w:r w:rsidRPr="008C51ED">
        <w:rPr>
          <w:rFonts w:ascii="Calibri" w:hAnsi="Calibri"/>
          <w:sz w:val="22"/>
          <w:szCs w:val="22"/>
        </w:rPr>
        <w:t>:</w:t>
      </w:r>
    </w:p>
    <w:p w:rsidR="008C51ED" w:rsidRPr="00310CA6" w:rsidRDefault="008C51ED" w:rsidP="008C51ED">
      <w:pPr>
        <w:ind w:left="360"/>
        <w:jc w:val="both"/>
        <w:rPr>
          <w:rFonts w:ascii="Calibri" w:hAnsi="Calibri"/>
          <w:sz w:val="16"/>
          <w:szCs w:val="16"/>
        </w:rPr>
      </w:pPr>
    </w:p>
    <w:tbl>
      <w:tblPr>
        <w:tblStyle w:val="TableGrid"/>
        <w:tblW w:w="7731" w:type="dxa"/>
        <w:jc w:val="center"/>
        <w:tblInd w:w="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99"/>
        <w:gridCol w:w="813"/>
        <w:gridCol w:w="955"/>
        <w:gridCol w:w="998"/>
        <w:gridCol w:w="813"/>
        <w:gridCol w:w="955"/>
        <w:gridCol w:w="998"/>
      </w:tblGrid>
      <w:tr w:rsidR="008C51ED" w:rsidRPr="00C05C12" w:rsidTr="008C51ED">
        <w:trPr>
          <w:jc w:val="center"/>
        </w:trPr>
        <w:tc>
          <w:tcPr>
            <w:tcW w:w="2199" w:type="dxa"/>
            <w:tcBorders>
              <w:top w:val="single" w:sz="12" w:space="0" w:color="auto"/>
              <w:left w:val="single" w:sz="12" w:space="0" w:color="auto"/>
              <w:bottom w:val="single" w:sz="12" w:space="0" w:color="auto"/>
              <w:right w:val="single" w:sz="12" w:space="0" w:color="auto"/>
            </w:tcBorders>
          </w:tcPr>
          <w:p w:rsidR="008C51ED" w:rsidRPr="008C51ED" w:rsidRDefault="008C51ED" w:rsidP="00AA2CC4">
            <w:pPr>
              <w:jc w:val="center"/>
              <w:rPr>
                <w:rFonts w:ascii="Calibri" w:hAnsi="Calibri"/>
                <w:b/>
                <w:spacing w:val="120"/>
                <w:sz w:val="22"/>
                <w:szCs w:val="22"/>
              </w:rPr>
            </w:pPr>
            <w:r w:rsidRPr="008C51ED">
              <w:rPr>
                <w:rFonts w:ascii="Calibri" w:hAnsi="Calibri"/>
                <w:b/>
                <w:spacing w:val="120"/>
                <w:sz w:val="22"/>
                <w:szCs w:val="22"/>
              </w:rPr>
              <w:t>NWEA</w:t>
            </w:r>
          </w:p>
        </w:tc>
        <w:tc>
          <w:tcPr>
            <w:tcW w:w="2766" w:type="dxa"/>
            <w:gridSpan w:val="3"/>
            <w:tcBorders>
              <w:top w:val="single" w:sz="12" w:space="0" w:color="auto"/>
              <w:left w:val="single" w:sz="12" w:space="0" w:color="auto"/>
              <w:bottom w:val="single" w:sz="12" w:space="0" w:color="auto"/>
              <w:right w:val="single" w:sz="12" w:space="0" w:color="auto"/>
            </w:tcBorders>
            <w:vAlign w:val="center"/>
          </w:tcPr>
          <w:p w:rsidR="008C51ED" w:rsidRPr="008C51ED" w:rsidRDefault="008C51ED" w:rsidP="00AA2CC4">
            <w:pPr>
              <w:jc w:val="center"/>
              <w:rPr>
                <w:rFonts w:ascii="Calibri" w:hAnsi="Calibri"/>
                <w:b/>
                <w:sz w:val="22"/>
                <w:szCs w:val="22"/>
              </w:rPr>
            </w:pPr>
            <w:r w:rsidRPr="008C51ED">
              <w:rPr>
                <w:rFonts w:ascii="Calibri" w:hAnsi="Calibri"/>
                <w:b/>
                <w:sz w:val="22"/>
                <w:szCs w:val="22"/>
              </w:rPr>
              <w:t>READING</w:t>
            </w:r>
          </w:p>
        </w:tc>
        <w:tc>
          <w:tcPr>
            <w:tcW w:w="2766" w:type="dxa"/>
            <w:gridSpan w:val="3"/>
            <w:tcBorders>
              <w:top w:val="single" w:sz="12" w:space="0" w:color="auto"/>
              <w:left w:val="single" w:sz="12" w:space="0" w:color="auto"/>
              <w:bottom w:val="single" w:sz="12" w:space="0" w:color="auto"/>
              <w:right w:val="single" w:sz="12" w:space="0" w:color="auto"/>
            </w:tcBorders>
          </w:tcPr>
          <w:p w:rsidR="008C51ED" w:rsidRPr="008C51ED" w:rsidRDefault="008C51ED" w:rsidP="00AA2CC4">
            <w:pPr>
              <w:jc w:val="center"/>
              <w:rPr>
                <w:rFonts w:ascii="Calibri" w:hAnsi="Calibri"/>
                <w:b/>
                <w:sz w:val="22"/>
                <w:szCs w:val="22"/>
              </w:rPr>
            </w:pPr>
            <w:r w:rsidRPr="008C51ED">
              <w:rPr>
                <w:rFonts w:ascii="Calibri" w:hAnsi="Calibri"/>
                <w:b/>
                <w:sz w:val="22"/>
                <w:szCs w:val="22"/>
              </w:rPr>
              <w:t>MATHEMATICS</w:t>
            </w:r>
          </w:p>
        </w:tc>
      </w:tr>
      <w:tr w:rsidR="008C51ED" w:rsidRPr="00C05C12" w:rsidTr="008C51ED">
        <w:trPr>
          <w:jc w:val="center"/>
        </w:trPr>
        <w:tc>
          <w:tcPr>
            <w:tcW w:w="2199" w:type="dxa"/>
            <w:tcBorders>
              <w:top w:val="single" w:sz="12" w:space="0" w:color="auto"/>
              <w:left w:val="single" w:sz="12" w:space="0" w:color="auto"/>
              <w:bottom w:val="nil"/>
              <w:right w:val="single" w:sz="12" w:space="0" w:color="auto"/>
            </w:tcBorders>
          </w:tcPr>
          <w:p w:rsidR="008C51ED" w:rsidRPr="008C51ED" w:rsidRDefault="008C51ED" w:rsidP="00AA2CC4">
            <w:pPr>
              <w:jc w:val="center"/>
              <w:rPr>
                <w:rFonts w:ascii="Calibri" w:hAnsi="Calibri"/>
                <w:b/>
                <w:sz w:val="22"/>
                <w:szCs w:val="22"/>
              </w:rPr>
            </w:pPr>
          </w:p>
        </w:tc>
        <w:tc>
          <w:tcPr>
            <w:tcW w:w="1768" w:type="dxa"/>
            <w:gridSpan w:val="2"/>
            <w:tcBorders>
              <w:top w:val="single" w:sz="12" w:space="0" w:color="auto"/>
              <w:left w:val="single" w:sz="12" w:space="0" w:color="auto"/>
            </w:tcBorders>
            <w:vAlign w:val="center"/>
          </w:tcPr>
          <w:p w:rsidR="008C51ED" w:rsidRPr="008C51ED" w:rsidRDefault="008C51ED" w:rsidP="008C51ED">
            <w:pPr>
              <w:jc w:val="center"/>
              <w:rPr>
                <w:rFonts w:ascii="Calibri" w:hAnsi="Calibri"/>
                <w:sz w:val="16"/>
                <w:szCs w:val="16"/>
              </w:rPr>
            </w:pPr>
            <w:r w:rsidRPr="008C51ED">
              <w:rPr>
                <w:rFonts w:ascii="Calibri" w:hAnsi="Calibri"/>
                <w:b/>
                <w:sz w:val="22"/>
                <w:szCs w:val="22"/>
              </w:rPr>
              <w:t>Growth</w:t>
            </w:r>
          </w:p>
        </w:tc>
        <w:tc>
          <w:tcPr>
            <w:tcW w:w="998" w:type="dxa"/>
            <w:tcBorders>
              <w:top w:val="single" w:sz="12" w:space="0" w:color="auto"/>
              <w:right w:val="single" w:sz="12" w:space="0" w:color="auto"/>
            </w:tcBorders>
            <w:vAlign w:val="center"/>
          </w:tcPr>
          <w:p w:rsidR="008C51ED" w:rsidRPr="008C51ED" w:rsidRDefault="008C51ED" w:rsidP="008C51ED">
            <w:pPr>
              <w:jc w:val="center"/>
              <w:rPr>
                <w:rFonts w:ascii="Calibri" w:hAnsi="Calibri"/>
                <w:sz w:val="16"/>
                <w:szCs w:val="16"/>
              </w:rPr>
            </w:pPr>
            <w:r w:rsidRPr="008C51ED">
              <w:rPr>
                <w:rFonts w:ascii="Calibri" w:hAnsi="Calibri"/>
                <w:b/>
                <w:sz w:val="22"/>
                <w:szCs w:val="22"/>
              </w:rPr>
              <w:t>Median</w:t>
            </w:r>
          </w:p>
        </w:tc>
        <w:tc>
          <w:tcPr>
            <w:tcW w:w="1768" w:type="dxa"/>
            <w:gridSpan w:val="2"/>
            <w:tcBorders>
              <w:top w:val="single" w:sz="12" w:space="0" w:color="auto"/>
              <w:left w:val="single" w:sz="12" w:space="0" w:color="auto"/>
            </w:tcBorders>
            <w:vAlign w:val="center"/>
          </w:tcPr>
          <w:p w:rsidR="008C51ED" w:rsidRPr="008C51ED" w:rsidRDefault="008C51ED" w:rsidP="00AA2CC4">
            <w:pPr>
              <w:jc w:val="center"/>
              <w:rPr>
                <w:rFonts w:ascii="Calibri" w:hAnsi="Calibri"/>
                <w:sz w:val="16"/>
                <w:szCs w:val="16"/>
              </w:rPr>
            </w:pPr>
            <w:r w:rsidRPr="008C51ED">
              <w:rPr>
                <w:rFonts w:ascii="Calibri" w:hAnsi="Calibri"/>
                <w:b/>
                <w:sz w:val="22"/>
                <w:szCs w:val="22"/>
              </w:rPr>
              <w:t>Growth</w:t>
            </w:r>
          </w:p>
        </w:tc>
        <w:tc>
          <w:tcPr>
            <w:tcW w:w="998" w:type="dxa"/>
            <w:tcBorders>
              <w:top w:val="single" w:sz="12" w:space="0" w:color="auto"/>
              <w:right w:val="single" w:sz="12" w:space="0" w:color="auto"/>
            </w:tcBorders>
            <w:vAlign w:val="center"/>
          </w:tcPr>
          <w:p w:rsidR="008C51ED" w:rsidRPr="008C51ED" w:rsidRDefault="008C51ED" w:rsidP="00AA2CC4">
            <w:pPr>
              <w:jc w:val="center"/>
              <w:rPr>
                <w:rFonts w:ascii="Calibri" w:hAnsi="Calibri"/>
                <w:sz w:val="16"/>
                <w:szCs w:val="16"/>
              </w:rPr>
            </w:pPr>
            <w:r w:rsidRPr="008C51ED">
              <w:rPr>
                <w:rFonts w:ascii="Calibri" w:hAnsi="Calibri"/>
                <w:b/>
                <w:sz w:val="22"/>
                <w:szCs w:val="22"/>
              </w:rPr>
              <w:t>Median</w:t>
            </w:r>
          </w:p>
        </w:tc>
      </w:tr>
      <w:tr w:rsidR="008C51ED" w:rsidRPr="00C05C12" w:rsidTr="008C51ED">
        <w:trPr>
          <w:jc w:val="center"/>
        </w:trPr>
        <w:tc>
          <w:tcPr>
            <w:tcW w:w="2199" w:type="dxa"/>
            <w:tcBorders>
              <w:top w:val="nil"/>
              <w:left w:val="single" w:sz="12" w:space="0" w:color="auto"/>
              <w:bottom w:val="single" w:sz="12" w:space="0" w:color="auto"/>
              <w:right w:val="single" w:sz="12" w:space="0" w:color="auto"/>
            </w:tcBorders>
          </w:tcPr>
          <w:p w:rsidR="008C51ED" w:rsidRPr="008C51ED" w:rsidRDefault="008C51ED" w:rsidP="00AA2CC4">
            <w:pPr>
              <w:jc w:val="center"/>
              <w:rPr>
                <w:rFonts w:ascii="Calibri" w:hAnsi="Calibri"/>
                <w:b/>
                <w:sz w:val="20"/>
              </w:rPr>
            </w:pPr>
          </w:p>
        </w:tc>
        <w:tc>
          <w:tcPr>
            <w:tcW w:w="813" w:type="dxa"/>
            <w:tcBorders>
              <w:left w:val="single" w:sz="12" w:space="0" w:color="auto"/>
            </w:tcBorders>
            <w:vAlign w:val="center"/>
          </w:tcPr>
          <w:p w:rsidR="008C51ED" w:rsidRPr="008C51ED" w:rsidRDefault="008C51ED" w:rsidP="00AA2CC4">
            <w:pPr>
              <w:jc w:val="center"/>
              <w:rPr>
                <w:rFonts w:ascii="Calibri" w:hAnsi="Calibri"/>
                <w:b/>
                <w:sz w:val="20"/>
              </w:rPr>
            </w:pPr>
            <w:r w:rsidRPr="008C51ED">
              <w:rPr>
                <w:rFonts w:ascii="Calibri" w:hAnsi="Calibri"/>
                <w:b/>
                <w:sz w:val="20"/>
              </w:rPr>
              <w:t>Count</w:t>
            </w:r>
          </w:p>
        </w:tc>
        <w:tc>
          <w:tcPr>
            <w:tcW w:w="955" w:type="dxa"/>
            <w:vAlign w:val="center"/>
          </w:tcPr>
          <w:p w:rsidR="008C51ED" w:rsidRPr="008C51ED" w:rsidRDefault="008C51ED" w:rsidP="00AA2CC4">
            <w:pPr>
              <w:jc w:val="center"/>
              <w:rPr>
                <w:rFonts w:ascii="Calibri" w:hAnsi="Calibri"/>
                <w:b/>
                <w:sz w:val="20"/>
              </w:rPr>
            </w:pPr>
            <w:r w:rsidRPr="008C51ED">
              <w:rPr>
                <w:rFonts w:ascii="Calibri" w:hAnsi="Calibri"/>
                <w:b/>
                <w:sz w:val="20"/>
              </w:rPr>
              <w:t>Percent</w:t>
            </w:r>
          </w:p>
        </w:tc>
        <w:tc>
          <w:tcPr>
            <w:tcW w:w="998" w:type="dxa"/>
            <w:tcBorders>
              <w:right w:val="single" w:sz="12" w:space="0" w:color="auto"/>
            </w:tcBorders>
            <w:vAlign w:val="center"/>
          </w:tcPr>
          <w:p w:rsidR="008C51ED" w:rsidRPr="008C51ED" w:rsidRDefault="008C51ED" w:rsidP="00AA2CC4">
            <w:pPr>
              <w:jc w:val="center"/>
              <w:rPr>
                <w:rFonts w:ascii="Calibri" w:hAnsi="Calibri"/>
                <w:b/>
                <w:sz w:val="20"/>
              </w:rPr>
            </w:pPr>
            <w:r w:rsidRPr="008C51ED">
              <w:rPr>
                <w:rFonts w:ascii="Calibri" w:hAnsi="Calibri"/>
                <w:b/>
                <w:sz w:val="20"/>
              </w:rPr>
              <w:t>Percent</w:t>
            </w:r>
          </w:p>
        </w:tc>
        <w:tc>
          <w:tcPr>
            <w:tcW w:w="813" w:type="dxa"/>
            <w:tcBorders>
              <w:left w:val="single" w:sz="12" w:space="0" w:color="auto"/>
            </w:tcBorders>
            <w:vAlign w:val="center"/>
          </w:tcPr>
          <w:p w:rsidR="008C51ED" w:rsidRPr="008C51ED" w:rsidRDefault="008C51ED" w:rsidP="00AA2CC4">
            <w:pPr>
              <w:jc w:val="center"/>
              <w:rPr>
                <w:rFonts w:ascii="Calibri" w:hAnsi="Calibri"/>
                <w:b/>
                <w:sz w:val="20"/>
              </w:rPr>
            </w:pPr>
            <w:r w:rsidRPr="008C51ED">
              <w:rPr>
                <w:rFonts w:ascii="Calibri" w:hAnsi="Calibri"/>
                <w:b/>
                <w:sz w:val="20"/>
              </w:rPr>
              <w:t>Count</w:t>
            </w:r>
          </w:p>
        </w:tc>
        <w:tc>
          <w:tcPr>
            <w:tcW w:w="955" w:type="dxa"/>
            <w:vAlign w:val="center"/>
          </w:tcPr>
          <w:p w:rsidR="008C51ED" w:rsidRPr="008C51ED" w:rsidRDefault="008C51ED" w:rsidP="00AA2CC4">
            <w:pPr>
              <w:jc w:val="center"/>
              <w:rPr>
                <w:rFonts w:ascii="Calibri" w:hAnsi="Calibri"/>
                <w:b/>
                <w:sz w:val="20"/>
              </w:rPr>
            </w:pPr>
            <w:r w:rsidRPr="008C51ED">
              <w:rPr>
                <w:rFonts w:ascii="Calibri" w:hAnsi="Calibri"/>
                <w:b/>
                <w:sz w:val="20"/>
              </w:rPr>
              <w:t>Percent</w:t>
            </w:r>
          </w:p>
        </w:tc>
        <w:tc>
          <w:tcPr>
            <w:tcW w:w="998" w:type="dxa"/>
            <w:tcBorders>
              <w:right w:val="single" w:sz="12" w:space="0" w:color="auto"/>
            </w:tcBorders>
            <w:vAlign w:val="center"/>
          </w:tcPr>
          <w:p w:rsidR="008C51ED" w:rsidRPr="008C51ED" w:rsidRDefault="008C51ED" w:rsidP="00AA2CC4">
            <w:pPr>
              <w:jc w:val="center"/>
              <w:rPr>
                <w:rFonts w:ascii="Calibri" w:hAnsi="Calibri"/>
                <w:b/>
                <w:sz w:val="20"/>
              </w:rPr>
            </w:pPr>
            <w:r w:rsidRPr="008C51ED">
              <w:rPr>
                <w:rFonts w:ascii="Calibri" w:hAnsi="Calibri"/>
                <w:b/>
                <w:sz w:val="20"/>
              </w:rPr>
              <w:t>Percent</w:t>
            </w:r>
          </w:p>
        </w:tc>
      </w:tr>
      <w:tr w:rsidR="008C51ED" w:rsidRPr="00C05C12" w:rsidTr="008C51ED">
        <w:trPr>
          <w:jc w:val="center"/>
        </w:trPr>
        <w:tc>
          <w:tcPr>
            <w:tcW w:w="2199" w:type="dxa"/>
            <w:tcBorders>
              <w:top w:val="single" w:sz="12" w:space="0" w:color="auto"/>
              <w:left w:val="single" w:sz="12" w:space="0" w:color="auto"/>
            </w:tcBorders>
            <w:vAlign w:val="center"/>
          </w:tcPr>
          <w:p w:rsidR="008C51ED" w:rsidRPr="002E3C67" w:rsidRDefault="008C51ED" w:rsidP="008C51ED">
            <w:pPr>
              <w:rPr>
                <w:rFonts w:ascii="Calibri" w:hAnsi="Calibri"/>
                <w:sz w:val="20"/>
              </w:rPr>
            </w:pPr>
            <w:r w:rsidRPr="002E3C67">
              <w:rPr>
                <w:rFonts w:ascii="Calibri" w:hAnsi="Calibri"/>
                <w:sz w:val="20"/>
              </w:rPr>
              <w:t>Fall 2012 – Spring 2013</w:t>
            </w:r>
          </w:p>
        </w:tc>
        <w:tc>
          <w:tcPr>
            <w:tcW w:w="813" w:type="dxa"/>
            <w:tcBorders>
              <w:left w:val="single" w:sz="12" w:space="0" w:color="auto"/>
            </w:tcBorders>
            <w:vAlign w:val="center"/>
          </w:tcPr>
          <w:p w:rsidR="008C51ED" w:rsidRPr="002E3C67" w:rsidRDefault="008C51ED" w:rsidP="00AA2CC4">
            <w:pPr>
              <w:jc w:val="center"/>
              <w:rPr>
                <w:rFonts w:ascii="Calibri" w:hAnsi="Calibri"/>
                <w:sz w:val="20"/>
              </w:rPr>
            </w:pPr>
            <w:r w:rsidRPr="002E3C67">
              <w:rPr>
                <w:rFonts w:ascii="Calibri" w:hAnsi="Calibri"/>
                <w:sz w:val="20"/>
              </w:rPr>
              <w:t>271</w:t>
            </w:r>
          </w:p>
        </w:tc>
        <w:tc>
          <w:tcPr>
            <w:tcW w:w="955" w:type="dxa"/>
            <w:vAlign w:val="center"/>
          </w:tcPr>
          <w:p w:rsidR="008C51ED" w:rsidRPr="002E3C67" w:rsidRDefault="008C51ED" w:rsidP="00AA2CC4">
            <w:pPr>
              <w:jc w:val="center"/>
              <w:rPr>
                <w:rFonts w:ascii="Calibri" w:hAnsi="Calibri"/>
                <w:sz w:val="20"/>
              </w:rPr>
            </w:pPr>
            <w:r w:rsidRPr="002E3C67">
              <w:rPr>
                <w:rFonts w:ascii="Calibri" w:hAnsi="Calibri"/>
                <w:sz w:val="20"/>
              </w:rPr>
              <w:t>59.0%</w:t>
            </w:r>
          </w:p>
        </w:tc>
        <w:tc>
          <w:tcPr>
            <w:tcW w:w="998" w:type="dxa"/>
            <w:tcBorders>
              <w:right w:val="single" w:sz="12" w:space="0" w:color="auto"/>
            </w:tcBorders>
            <w:vAlign w:val="center"/>
          </w:tcPr>
          <w:p w:rsidR="008C51ED" w:rsidRPr="002E3C67" w:rsidRDefault="008C51ED" w:rsidP="00AA2CC4">
            <w:pPr>
              <w:jc w:val="center"/>
              <w:rPr>
                <w:rFonts w:ascii="Calibri" w:hAnsi="Calibri"/>
                <w:sz w:val="20"/>
              </w:rPr>
            </w:pPr>
            <w:r w:rsidRPr="002E3C67">
              <w:rPr>
                <w:rFonts w:ascii="Calibri" w:hAnsi="Calibri"/>
                <w:sz w:val="20"/>
              </w:rPr>
              <w:t>43.8%</w:t>
            </w:r>
          </w:p>
        </w:tc>
        <w:tc>
          <w:tcPr>
            <w:tcW w:w="813" w:type="dxa"/>
            <w:tcBorders>
              <w:left w:val="single" w:sz="12" w:space="0" w:color="auto"/>
            </w:tcBorders>
          </w:tcPr>
          <w:p w:rsidR="008C51ED" w:rsidRPr="002E3C67" w:rsidRDefault="008C51ED" w:rsidP="00AA2CC4">
            <w:pPr>
              <w:jc w:val="center"/>
              <w:rPr>
                <w:rFonts w:ascii="Calibri" w:hAnsi="Calibri"/>
                <w:sz w:val="20"/>
              </w:rPr>
            </w:pPr>
            <w:r w:rsidRPr="002E3C67">
              <w:rPr>
                <w:rFonts w:ascii="Calibri" w:hAnsi="Calibri"/>
                <w:sz w:val="20"/>
              </w:rPr>
              <w:t>267</w:t>
            </w:r>
          </w:p>
        </w:tc>
        <w:tc>
          <w:tcPr>
            <w:tcW w:w="955" w:type="dxa"/>
          </w:tcPr>
          <w:p w:rsidR="008C51ED" w:rsidRPr="002E3C67" w:rsidRDefault="008C51ED" w:rsidP="00AA2CC4">
            <w:pPr>
              <w:jc w:val="center"/>
              <w:rPr>
                <w:rFonts w:ascii="Calibri" w:hAnsi="Calibri"/>
                <w:sz w:val="20"/>
              </w:rPr>
            </w:pPr>
            <w:r w:rsidRPr="002E3C67">
              <w:rPr>
                <w:rFonts w:ascii="Calibri" w:hAnsi="Calibri"/>
                <w:sz w:val="20"/>
              </w:rPr>
              <w:t>61.8%</w:t>
            </w:r>
          </w:p>
        </w:tc>
        <w:tc>
          <w:tcPr>
            <w:tcW w:w="998" w:type="dxa"/>
            <w:tcBorders>
              <w:right w:val="single" w:sz="12" w:space="0" w:color="auto"/>
            </w:tcBorders>
          </w:tcPr>
          <w:p w:rsidR="008C51ED" w:rsidRPr="002E3C67" w:rsidRDefault="008C51ED" w:rsidP="00AA2CC4">
            <w:pPr>
              <w:jc w:val="center"/>
              <w:rPr>
                <w:rFonts w:ascii="Calibri" w:hAnsi="Calibri"/>
                <w:sz w:val="20"/>
              </w:rPr>
            </w:pPr>
            <w:r w:rsidRPr="002E3C67">
              <w:rPr>
                <w:rFonts w:ascii="Calibri" w:hAnsi="Calibri"/>
                <w:sz w:val="20"/>
              </w:rPr>
              <w:t>47.1%</w:t>
            </w:r>
          </w:p>
        </w:tc>
      </w:tr>
      <w:tr w:rsidR="008C51ED" w:rsidRPr="00C05C12" w:rsidTr="008C51ED">
        <w:trPr>
          <w:jc w:val="center"/>
        </w:trPr>
        <w:tc>
          <w:tcPr>
            <w:tcW w:w="2199" w:type="dxa"/>
            <w:tcBorders>
              <w:left w:val="single" w:sz="12" w:space="0" w:color="auto"/>
              <w:bottom w:val="single" w:sz="12" w:space="0" w:color="auto"/>
            </w:tcBorders>
            <w:vAlign w:val="center"/>
          </w:tcPr>
          <w:p w:rsidR="008C51ED" w:rsidRPr="002E3C67" w:rsidRDefault="008C51ED" w:rsidP="008C51ED">
            <w:pPr>
              <w:rPr>
                <w:rFonts w:ascii="Calibri" w:hAnsi="Calibri"/>
                <w:sz w:val="20"/>
              </w:rPr>
            </w:pPr>
            <w:r w:rsidRPr="002E3C67">
              <w:rPr>
                <w:rFonts w:ascii="Calibri" w:hAnsi="Calibri"/>
                <w:sz w:val="20"/>
              </w:rPr>
              <w:t>Fall 2013 – Spring 2014</w:t>
            </w:r>
          </w:p>
        </w:tc>
        <w:tc>
          <w:tcPr>
            <w:tcW w:w="813" w:type="dxa"/>
            <w:tcBorders>
              <w:left w:val="single" w:sz="12" w:space="0" w:color="auto"/>
              <w:bottom w:val="single" w:sz="12" w:space="0" w:color="auto"/>
            </w:tcBorders>
            <w:vAlign w:val="center"/>
          </w:tcPr>
          <w:p w:rsidR="008C51ED" w:rsidRPr="002E3C67" w:rsidRDefault="005117C3" w:rsidP="00AA2CC4">
            <w:pPr>
              <w:jc w:val="center"/>
              <w:rPr>
                <w:rFonts w:ascii="Calibri" w:hAnsi="Calibri"/>
                <w:sz w:val="20"/>
              </w:rPr>
            </w:pPr>
            <w:r w:rsidRPr="002E3C67">
              <w:rPr>
                <w:rFonts w:ascii="Calibri" w:hAnsi="Calibri"/>
                <w:sz w:val="20"/>
              </w:rPr>
              <w:t>168</w:t>
            </w:r>
          </w:p>
        </w:tc>
        <w:tc>
          <w:tcPr>
            <w:tcW w:w="955" w:type="dxa"/>
            <w:tcBorders>
              <w:bottom w:val="single" w:sz="12" w:space="0" w:color="auto"/>
            </w:tcBorders>
            <w:vAlign w:val="center"/>
          </w:tcPr>
          <w:p w:rsidR="008C51ED" w:rsidRPr="002E3C67" w:rsidRDefault="005117C3" w:rsidP="00AA2CC4">
            <w:pPr>
              <w:jc w:val="center"/>
              <w:rPr>
                <w:rFonts w:ascii="Calibri" w:hAnsi="Calibri"/>
                <w:sz w:val="20"/>
              </w:rPr>
            </w:pPr>
            <w:r w:rsidRPr="002E3C67">
              <w:rPr>
                <w:rFonts w:ascii="Calibri" w:hAnsi="Calibri"/>
                <w:sz w:val="20"/>
              </w:rPr>
              <w:t>59.5%</w:t>
            </w:r>
          </w:p>
        </w:tc>
        <w:tc>
          <w:tcPr>
            <w:tcW w:w="998" w:type="dxa"/>
            <w:tcBorders>
              <w:bottom w:val="single" w:sz="12" w:space="0" w:color="auto"/>
              <w:right w:val="single" w:sz="12" w:space="0" w:color="auto"/>
            </w:tcBorders>
            <w:vAlign w:val="center"/>
          </w:tcPr>
          <w:p w:rsidR="008C51ED" w:rsidRPr="002E3C67" w:rsidRDefault="005117C3" w:rsidP="00AA2CC4">
            <w:pPr>
              <w:jc w:val="center"/>
              <w:rPr>
                <w:rFonts w:ascii="Calibri" w:hAnsi="Calibri"/>
                <w:sz w:val="20"/>
              </w:rPr>
            </w:pPr>
            <w:r w:rsidRPr="002E3C67">
              <w:rPr>
                <w:rFonts w:ascii="Calibri" w:hAnsi="Calibri"/>
                <w:sz w:val="20"/>
              </w:rPr>
              <w:t>50.0%</w:t>
            </w:r>
          </w:p>
        </w:tc>
        <w:tc>
          <w:tcPr>
            <w:tcW w:w="813" w:type="dxa"/>
            <w:tcBorders>
              <w:left w:val="single" w:sz="12" w:space="0" w:color="auto"/>
              <w:bottom w:val="single" w:sz="12" w:space="0" w:color="auto"/>
            </w:tcBorders>
          </w:tcPr>
          <w:p w:rsidR="008C51ED" w:rsidRPr="002E3C67" w:rsidRDefault="005117C3" w:rsidP="00AA2CC4">
            <w:pPr>
              <w:jc w:val="center"/>
              <w:rPr>
                <w:rFonts w:ascii="Calibri" w:hAnsi="Calibri"/>
                <w:sz w:val="20"/>
              </w:rPr>
            </w:pPr>
            <w:r w:rsidRPr="002E3C67">
              <w:rPr>
                <w:rFonts w:ascii="Calibri" w:hAnsi="Calibri"/>
                <w:sz w:val="20"/>
              </w:rPr>
              <w:t>167</w:t>
            </w:r>
          </w:p>
        </w:tc>
        <w:tc>
          <w:tcPr>
            <w:tcW w:w="955" w:type="dxa"/>
            <w:tcBorders>
              <w:bottom w:val="single" w:sz="12" w:space="0" w:color="auto"/>
            </w:tcBorders>
          </w:tcPr>
          <w:p w:rsidR="008C51ED" w:rsidRPr="002E3C67" w:rsidRDefault="005117C3" w:rsidP="00AA2CC4">
            <w:pPr>
              <w:jc w:val="center"/>
              <w:rPr>
                <w:rFonts w:ascii="Calibri" w:hAnsi="Calibri"/>
                <w:sz w:val="20"/>
              </w:rPr>
            </w:pPr>
            <w:r w:rsidRPr="002E3C67">
              <w:rPr>
                <w:rFonts w:ascii="Calibri" w:hAnsi="Calibri"/>
                <w:sz w:val="20"/>
              </w:rPr>
              <w:t>56.9%</w:t>
            </w:r>
          </w:p>
        </w:tc>
        <w:tc>
          <w:tcPr>
            <w:tcW w:w="998" w:type="dxa"/>
            <w:tcBorders>
              <w:bottom w:val="single" w:sz="12" w:space="0" w:color="auto"/>
              <w:right w:val="single" w:sz="12" w:space="0" w:color="auto"/>
            </w:tcBorders>
          </w:tcPr>
          <w:p w:rsidR="008C51ED" w:rsidRPr="002E3C67" w:rsidRDefault="005117C3" w:rsidP="00AA2CC4">
            <w:pPr>
              <w:jc w:val="center"/>
              <w:rPr>
                <w:rFonts w:ascii="Calibri" w:hAnsi="Calibri"/>
                <w:sz w:val="20"/>
              </w:rPr>
            </w:pPr>
            <w:r w:rsidRPr="002E3C67">
              <w:rPr>
                <w:rFonts w:ascii="Calibri" w:hAnsi="Calibri"/>
                <w:sz w:val="20"/>
              </w:rPr>
              <w:t>48.3%</w:t>
            </w:r>
          </w:p>
        </w:tc>
      </w:tr>
    </w:tbl>
    <w:p w:rsidR="008C51ED" w:rsidRPr="008C51ED" w:rsidRDefault="008C51ED" w:rsidP="008C51ED">
      <w:pPr>
        <w:tabs>
          <w:tab w:val="left" w:pos="2160"/>
        </w:tabs>
        <w:ind w:right="-360" w:firstLine="1440"/>
        <w:rPr>
          <w:rFonts w:ascii="Calibri" w:hAnsi="Calibri"/>
          <w:b/>
          <w:sz w:val="8"/>
          <w:szCs w:val="8"/>
          <w:u w:val="single"/>
        </w:rPr>
      </w:pPr>
    </w:p>
    <w:p w:rsidR="008C51ED" w:rsidRPr="008C51ED" w:rsidRDefault="008C51ED" w:rsidP="008C51ED">
      <w:pPr>
        <w:tabs>
          <w:tab w:val="left" w:pos="2160"/>
        </w:tabs>
        <w:ind w:right="-360" w:firstLine="1440"/>
        <w:rPr>
          <w:rFonts w:ascii="Calibri" w:hAnsi="Calibri"/>
          <w:sz w:val="18"/>
          <w:szCs w:val="18"/>
          <w:u w:val="single"/>
        </w:rPr>
      </w:pPr>
      <w:r w:rsidRPr="008C51ED">
        <w:rPr>
          <w:rFonts w:ascii="Calibri" w:hAnsi="Calibri"/>
          <w:b/>
          <w:sz w:val="18"/>
          <w:szCs w:val="18"/>
          <w:u w:val="single"/>
        </w:rPr>
        <w:t>Growth</w:t>
      </w:r>
      <w:r w:rsidRPr="008C51ED">
        <w:rPr>
          <w:rFonts w:ascii="Calibri" w:hAnsi="Calibri"/>
          <w:b/>
          <w:sz w:val="18"/>
          <w:szCs w:val="18"/>
        </w:rPr>
        <w:t>:</w:t>
      </w:r>
      <w:r w:rsidRPr="008C51ED">
        <w:rPr>
          <w:rFonts w:ascii="Calibri" w:hAnsi="Calibri"/>
          <w:sz w:val="18"/>
          <w:szCs w:val="18"/>
        </w:rPr>
        <w:tab/>
        <w:t xml:space="preserve">The percent that met or exceeded typical growth from Fall </w:t>
      </w:r>
      <w:r w:rsidR="00AD5A5C">
        <w:rPr>
          <w:rFonts w:ascii="Calibri" w:hAnsi="Calibri"/>
          <w:sz w:val="18"/>
          <w:szCs w:val="18"/>
        </w:rPr>
        <w:t>to Spring</w:t>
      </w:r>
      <w:r w:rsidRPr="008C51ED">
        <w:rPr>
          <w:rFonts w:ascii="Calibri" w:hAnsi="Calibri"/>
          <w:sz w:val="18"/>
          <w:szCs w:val="18"/>
        </w:rPr>
        <w:t>.</w:t>
      </w:r>
    </w:p>
    <w:p w:rsidR="008C51ED" w:rsidRPr="008C51ED" w:rsidRDefault="008C51ED" w:rsidP="008C51ED">
      <w:pPr>
        <w:tabs>
          <w:tab w:val="left" w:pos="2160"/>
        </w:tabs>
        <w:ind w:right="-360" w:firstLine="1440"/>
        <w:rPr>
          <w:rFonts w:ascii="Calibri" w:hAnsi="Calibri"/>
          <w:sz w:val="18"/>
          <w:szCs w:val="18"/>
        </w:rPr>
      </w:pPr>
      <w:r w:rsidRPr="008C51ED">
        <w:rPr>
          <w:rFonts w:ascii="Calibri" w:hAnsi="Calibri"/>
          <w:b/>
          <w:sz w:val="18"/>
          <w:szCs w:val="18"/>
          <w:u w:val="single"/>
        </w:rPr>
        <w:t>Median</w:t>
      </w:r>
      <w:r w:rsidRPr="008C51ED">
        <w:rPr>
          <w:rFonts w:ascii="Calibri" w:hAnsi="Calibri"/>
          <w:b/>
          <w:sz w:val="18"/>
          <w:szCs w:val="18"/>
        </w:rPr>
        <w:t>:</w:t>
      </w:r>
      <w:r w:rsidRPr="008C51ED">
        <w:rPr>
          <w:rFonts w:ascii="Calibri" w:hAnsi="Calibri"/>
          <w:sz w:val="18"/>
          <w:szCs w:val="18"/>
        </w:rPr>
        <w:tab/>
        <w:t>The percentage of students performing at or above the 50</w:t>
      </w:r>
      <w:r w:rsidRPr="008C51ED">
        <w:rPr>
          <w:rFonts w:ascii="Calibri" w:hAnsi="Calibri"/>
          <w:sz w:val="18"/>
          <w:szCs w:val="18"/>
          <w:vertAlign w:val="superscript"/>
        </w:rPr>
        <w:t>th</w:t>
      </w:r>
      <w:r w:rsidRPr="008C51ED">
        <w:rPr>
          <w:rFonts w:ascii="Calibri" w:hAnsi="Calibri"/>
          <w:sz w:val="18"/>
          <w:szCs w:val="18"/>
        </w:rPr>
        <w:t xml:space="preserve"> percentile for their grade level.</w:t>
      </w:r>
    </w:p>
    <w:p w:rsidR="00282E76" w:rsidRPr="00310CA6" w:rsidRDefault="00282E76" w:rsidP="00282E76">
      <w:pPr>
        <w:jc w:val="both"/>
        <w:rPr>
          <w:rFonts w:ascii="Calibri" w:hAnsi="Calibri"/>
          <w:sz w:val="16"/>
          <w:szCs w:val="16"/>
        </w:rPr>
      </w:pPr>
    </w:p>
    <w:p w:rsidR="00282E76" w:rsidRPr="00282E76" w:rsidRDefault="00282E76" w:rsidP="00282E76">
      <w:pPr>
        <w:pStyle w:val="ListParagraph"/>
        <w:numPr>
          <w:ilvl w:val="0"/>
          <w:numId w:val="21"/>
        </w:numPr>
        <w:tabs>
          <w:tab w:val="clear" w:pos="1080"/>
          <w:tab w:val="num" w:pos="360"/>
        </w:tabs>
        <w:spacing w:after="0" w:line="240" w:lineRule="auto"/>
        <w:ind w:left="360"/>
        <w:jc w:val="both"/>
        <w:rPr>
          <w:b/>
        </w:rPr>
      </w:pPr>
      <w:r w:rsidRPr="00282E76">
        <w:rPr>
          <w:b/>
        </w:rPr>
        <w:t>Students Represented by Parents at Parent-Teacher Conferences</w:t>
      </w:r>
    </w:p>
    <w:p w:rsidR="002E3C67" w:rsidRDefault="00282E76" w:rsidP="008C24BF">
      <w:pPr>
        <w:shd w:val="clear" w:color="auto" w:fill="FFFFFF" w:themeFill="background1"/>
        <w:tabs>
          <w:tab w:val="left" w:pos="360"/>
        </w:tabs>
        <w:ind w:left="360"/>
        <w:jc w:val="both"/>
        <w:rPr>
          <w:rFonts w:ascii="Calibri" w:hAnsi="Calibri"/>
          <w:sz w:val="22"/>
          <w:szCs w:val="22"/>
          <w:shd w:val="clear" w:color="auto" w:fill="FFFFFF"/>
        </w:rPr>
      </w:pPr>
      <w:r w:rsidRPr="00282E76">
        <w:rPr>
          <w:rFonts w:ascii="Calibri" w:hAnsi="Calibri"/>
          <w:sz w:val="22"/>
          <w:szCs w:val="22"/>
        </w:rPr>
        <w:t xml:space="preserve">Parent-teacher conferences are held in each building. </w:t>
      </w:r>
      <w:r w:rsidR="00FC4439">
        <w:rPr>
          <w:rFonts w:ascii="Calibri" w:hAnsi="Calibri"/>
          <w:sz w:val="22"/>
          <w:szCs w:val="22"/>
        </w:rPr>
        <w:t>The number and p</w:t>
      </w:r>
      <w:r w:rsidRPr="00282E76">
        <w:rPr>
          <w:rFonts w:ascii="Calibri" w:hAnsi="Calibri"/>
          <w:sz w:val="22"/>
          <w:szCs w:val="22"/>
        </w:rPr>
        <w:t>ercent of students represented by a parent or guardian at conferences are as follows</w:t>
      </w:r>
      <w:r w:rsidR="002E3C67">
        <w:rPr>
          <w:rFonts w:ascii="Calibri" w:hAnsi="Calibri"/>
          <w:sz w:val="22"/>
          <w:szCs w:val="22"/>
          <w:shd w:val="clear" w:color="auto" w:fill="FFFFFF"/>
        </w:rPr>
        <w:t>:</w:t>
      </w:r>
    </w:p>
    <w:p w:rsidR="002E3C67" w:rsidRPr="00282E76" w:rsidRDefault="002E3C67" w:rsidP="001F3BF7">
      <w:pPr>
        <w:shd w:val="clear" w:color="auto" w:fill="FFFFFF"/>
        <w:tabs>
          <w:tab w:val="left" w:pos="360"/>
          <w:tab w:val="left" w:pos="2520"/>
          <w:tab w:val="left" w:pos="3960"/>
          <w:tab w:val="left" w:pos="6480"/>
        </w:tabs>
        <w:ind w:left="360"/>
        <w:jc w:val="both"/>
        <w:rPr>
          <w:rFonts w:ascii="Calibri" w:hAnsi="Calibri"/>
          <w:sz w:val="22"/>
          <w:szCs w:val="22"/>
        </w:rPr>
      </w:pPr>
      <w:r w:rsidRPr="001F3BF7">
        <w:rPr>
          <w:rFonts w:ascii="Calibri" w:hAnsi="Calibri"/>
          <w:b/>
          <w:sz w:val="22"/>
          <w:szCs w:val="22"/>
          <w:shd w:val="clear" w:color="auto" w:fill="FFFFFF"/>
        </w:rPr>
        <w:t>Fall 2012</w:t>
      </w:r>
      <w:r>
        <w:rPr>
          <w:rFonts w:ascii="Calibri" w:hAnsi="Calibri"/>
          <w:sz w:val="22"/>
          <w:szCs w:val="22"/>
          <w:shd w:val="clear" w:color="auto" w:fill="FFFFFF"/>
        </w:rPr>
        <w:t>:</w:t>
      </w:r>
      <w:r>
        <w:rPr>
          <w:rFonts w:ascii="Calibri" w:hAnsi="Calibri"/>
          <w:sz w:val="22"/>
          <w:szCs w:val="22"/>
          <w:shd w:val="clear" w:color="auto" w:fill="FFFFFF"/>
        </w:rPr>
        <w:tab/>
        <w:t>= 92</w:t>
      </w:r>
      <w:r w:rsidRPr="00511994">
        <w:rPr>
          <w:rFonts w:ascii="Calibri" w:hAnsi="Calibri"/>
          <w:sz w:val="22"/>
          <w:szCs w:val="22"/>
          <w:shd w:val="clear" w:color="auto" w:fill="FFFFFF"/>
        </w:rPr>
        <w:t>%</w:t>
      </w:r>
      <w:r>
        <w:rPr>
          <w:rFonts w:ascii="Calibri" w:hAnsi="Calibri"/>
          <w:sz w:val="22"/>
          <w:szCs w:val="22"/>
          <w:shd w:val="clear" w:color="auto" w:fill="FFFFFF"/>
        </w:rPr>
        <w:tab/>
      </w:r>
      <w:r w:rsidRPr="001F3BF7">
        <w:rPr>
          <w:rFonts w:ascii="Calibri" w:hAnsi="Calibri"/>
          <w:b/>
          <w:sz w:val="22"/>
          <w:szCs w:val="22"/>
          <w:shd w:val="clear" w:color="auto" w:fill="FFFFFF"/>
        </w:rPr>
        <w:t>Winter 2013</w:t>
      </w:r>
      <w:r>
        <w:rPr>
          <w:rFonts w:ascii="Calibri" w:hAnsi="Calibri"/>
          <w:sz w:val="22"/>
          <w:szCs w:val="22"/>
          <w:shd w:val="clear" w:color="auto" w:fill="FFFFFF"/>
        </w:rPr>
        <w:t>:</w:t>
      </w:r>
      <w:r>
        <w:rPr>
          <w:rFonts w:ascii="Calibri" w:hAnsi="Calibri"/>
          <w:sz w:val="22"/>
          <w:szCs w:val="22"/>
          <w:shd w:val="clear" w:color="auto" w:fill="FFFFFF"/>
        </w:rPr>
        <w:tab/>
        <w:t>= 83</w:t>
      </w:r>
      <w:r w:rsidRPr="00511994">
        <w:rPr>
          <w:rFonts w:ascii="Calibri" w:hAnsi="Calibri"/>
          <w:sz w:val="22"/>
          <w:szCs w:val="22"/>
          <w:shd w:val="clear" w:color="auto" w:fill="FFFFFF"/>
        </w:rPr>
        <w:t>%</w:t>
      </w:r>
    </w:p>
    <w:p w:rsidR="00282E76" w:rsidRPr="00282E76" w:rsidRDefault="00282E76" w:rsidP="001F3BF7">
      <w:pPr>
        <w:shd w:val="clear" w:color="auto" w:fill="FFFFFF" w:themeFill="background1"/>
        <w:tabs>
          <w:tab w:val="left" w:pos="360"/>
          <w:tab w:val="left" w:pos="2520"/>
          <w:tab w:val="left" w:pos="3960"/>
          <w:tab w:val="left" w:pos="6480"/>
        </w:tabs>
        <w:ind w:left="360"/>
        <w:jc w:val="both"/>
        <w:rPr>
          <w:rFonts w:ascii="Calibri" w:hAnsi="Calibri"/>
          <w:sz w:val="22"/>
          <w:szCs w:val="22"/>
        </w:rPr>
      </w:pPr>
      <w:r w:rsidRPr="001F3BF7">
        <w:rPr>
          <w:rFonts w:ascii="Calibri" w:hAnsi="Calibri"/>
          <w:b/>
          <w:sz w:val="22"/>
          <w:szCs w:val="22"/>
          <w:shd w:val="clear" w:color="auto" w:fill="FFFFFF"/>
        </w:rPr>
        <w:t>Fall</w:t>
      </w:r>
      <w:r w:rsidR="002E3C67" w:rsidRPr="001F3BF7">
        <w:rPr>
          <w:rFonts w:ascii="Calibri" w:hAnsi="Calibri"/>
          <w:b/>
          <w:sz w:val="22"/>
          <w:szCs w:val="22"/>
          <w:shd w:val="clear" w:color="auto" w:fill="FFFFFF"/>
        </w:rPr>
        <w:t xml:space="preserve"> 2013</w:t>
      </w:r>
      <w:r w:rsidR="002E3C67">
        <w:rPr>
          <w:rFonts w:ascii="Calibri" w:hAnsi="Calibri"/>
          <w:sz w:val="22"/>
          <w:szCs w:val="22"/>
          <w:shd w:val="clear" w:color="auto" w:fill="FFFFFF"/>
        </w:rPr>
        <w:t>:</w:t>
      </w:r>
      <w:r w:rsidRPr="00282E76">
        <w:rPr>
          <w:rFonts w:ascii="Calibri" w:hAnsi="Calibri"/>
          <w:sz w:val="22"/>
          <w:szCs w:val="22"/>
          <w:shd w:val="clear" w:color="auto" w:fill="FFFFFF"/>
        </w:rPr>
        <w:t xml:space="preserve"> </w:t>
      </w:r>
      <w:r w:rsidR="008C24BF">
        <w:rPr>
          <w:rFonts w:ascii="Calibri" w:hAnsi="Calibri"/>
          <w:sz w:val="22"/>
          <w:szCs w:val="22"/>
          <w:shd w:val="clear" w:color="auto" w:fill="FFFFFF"/>
        </w:rPr>
        <w:t xml:space="preserve"> 173</w:t>
      </w:r>
      <w:r w:rsidR="002E3C67">
        <w:rPr>
          <w:rFonts w:ascii="Calibri" w:hAnsi="Calibri"/>
          <w:sz w:val="22"/>
          <w:szCs w:val="22"/>
          <w:shd w:val="clear" w:color="auto" w:fill="FFFFFF"/>
        </w:rPr>
        <w:t xml:space="preserve"> parents</w:t>
      </w:r>
      <w:r w:rsidR="002E3C67">
        <w:rPr>
          <w:rFonts w:ascii="Calibri" w:hAnsi="Calibri"/>
          <w:sz w:val="22"/>
          <w:szCs w:val="22"/>
          <w:shd w:val="clear" w:color="auto" w:fill="FFFFFF"/>
        </w:rPr>
        <w:tab/>
      </w:r>
      <w:r w:rsidR="00511994">
        <w:rPr>
          <w:rFonts w:ascii="Calibri" w:hAnsi="Calibri"/>
          <w:sz w:val="22"/>
          <w:szCs w:val="22"/>
          <w:shd w:val="clear" w:color="auto" w:fill="FFFFFF"/>
        </w:rPr>
        <w:t xml:space="preserve">= </w:t>
      </w:r>
      <w:r w:rsidR="008C24BF">
        <w:rPr>
          <w:rFonts w:ascii="Calibri" w:hAnsi="Calibri"/>
          <w:sz w:val="22"/>
          <w:szCs w:val="22"/>
          <w:shd w:val="clear" w:color="auto" w:fill="FFFFFF"/>
        </w:rPr>
        <w:t>98</w:t>
      </w:r>
      <w:r w:rsidRPr="00511994">
        <w:rPr>
          <w:rFonts w:ascii="Calibri" w:hAnsi="Calibri"/>
          <w:sz w:val="22"/>
          <w:szCs w:val="22"/>
          <w:shd w:val="clear" w:color="auto" w:fill="FFFFFF"/>
        </w:rPr>
        <w:t>%</w:t>
      </w:r>
      <w:r w:rsidR="002E3C67">
        <w:rPr>
          <w:rFonts w:ascii="Calibri" w:hAnsi="Calibri"/>
          <w:sz w:val="22"/>
          <w:szCs w:val="22"/>
          <w:shd w:val="clear" w:color="auto" w:fill="FFFFFF"/>
        </w:rPr>
        <w:tab/>
      </w:r>
      <w:r w:rsidR="008C24BF" w:rsidRPr="001F3BF7">
        <w:rPr>
          <w:rFonts w:ascii="Calibri" w:hAnsi="Calibri"/>
          <w:b/>
          <w:sz w:val="22"/>
          <w:szCs w:val="22"/>
          <w:shd w:val="clear" w:color="auto" w:fill="FFFFFF"/>
        </w:rPr>
        <w:t>Winter</w:t>
      </w:r>
      <w:r w:rsidR="002E3C67" w:rsidRPr="001F3BF7">
        <w:rPr>
          <w:rFonts w:ascii="Calibri" w:hAnsi="Calibri"/>
          <w:b/>
          <w:sz w:val="22"/>
          <w:szCs w:val="22"/>
          <w:shd w:val="clear" w:color="auto" w:fill="FFFFFF"/>
        </w:rPr>
        <w:t xml:space="preserve"> 2014</w:t>
      </w:r>
      <w:r w:rsidR="002E3C67">
        <w:rPr>
          <w:rFonts w:ascii="Calibri" w:hAnsi="Calibri"/>
          <w:sz w:val="22"/>
          <w:szCs w:val="22"/>
          <w:shd w:val="clear" w:color="auto" w:fill="FFFFFF"/>
        </w:rPr>
        <w:t>:</w:t>
      </w:r>
      <w:r w:rsidR="008C24BF">
        <w:rPr>
          <w:rFonts w:ascii="Calibri" w:hAnsi="Calibri"/>
          <w:sz w:val="22"/>
          <w:szCs w:val="22"/>
          <w:shd w:val="clear" w:color="auto" w:fill="FFFFFF"/>
        </w:rPr>
        <w:t xml:space="preserve"> </w:t>
      </w:r>
      <w:r w:rsidR="002E3C67">
        <w:rPr>
          <w:rFonts w:ascii="Calibri" w:hAnsi="Calibri"/>
          <w:sz w:val="22"/>
          <w:szCs w:val="22"/>
          <w:shd w:val="clear" w:color="auto" w:fill="FFFFFF"/>
        </w:rPr>
        <w:t xml:space="preserve"> 172 parents</w:t>
      </w:r>
      <w:r w:rsidR="002E3C67">
        <w:rPr>
          <w:rFonts w:ascii="Calibri" w:hAnsi="Calibri"/>
          <w:sz w:val="22"/>
          <w:szCs w:val="22"/>
          <w:shd w:val="clear" w:color="auto" w:fill="FFFFFF"/>
        </w:rPr>
        <w:tab/>
        <w:t xml:space="preserve">= </w:t>
      </w:r>
      <w:r w:rsidR="008C24BF">
        <w:rPr>
          <w:rFonts w:ascii="Calibri" w:hAnsi="Calibri"/>
          <w:sz w:val="22"/>
          <w:szCs w:val="22"/>
          <w:shd w:val="clear" w:color="auto" w:fill="FFFFFF"/>
        </w:rPr>
        <w:t>92</w:t>
      </w:r>
      <w:r w:rsidR="008C24BF" w:rsidRPr="00511994">
        <w:rPr>
          <w:rFonts w:ascii="Calibri" w:hAnsi="Calibri"/>
          <w:sz w:val="22"/>
          <w:szCs w:val="22"/>
          <w:shd w:val="clear" w:color="auto" w:fill="FFFFFF"/>
        </w:rPr>
        <w:t>%</w:t>
      </w:r>
    </w:p>
    <w:p w:rsidR="00282E76" w:rsidRPr="00310CA6" w:rsidRDefault="00282E76" w:rsidP="00282E76">
      <w:pPr>
        <w:rPr>
          <w:rFonts w:ascii="Calibri" w:hAnsi="Calibri"/>
          <w:b/>
          <w:sz w:val="16"/>
          <w:szCs w:val="16"/>
        </w:rPr>
      </w:pPr>
    </w:p>
    <w:p w:rsidR="00282E76" w:rsidRPr="00282E76" w:rsidRDefault="00282E76" w:rsidP="00282E76">
      <w:pPr>
        <w:autoSpaceDE w:val="0"/>
        <w:autoSpaceDN w:val="0"/>
        <w:adjustRightInd w:val="0"/>
        <w:jc w:val="both"/>
        <w:rPr>
          <w:rFonts w:ascii="Calibri" w:hAnsi="Calibri"/>
          <w:sz w:val="22"/>
          <w:szCs w:val="22"/>
        </w:rPr>
      </w:pPr>
      <w:r w:rsidRPr="00282E76">
        <w:rPr>
          <w:rFonts w:ascii="Calibri" w:hAnsi="Calibri"/>
          <w:sz w:val="22"/>
          <w:szCs w:val="22"/>
        </w:rPr>
        <w:t>The West Branch-Rose City staff is commended for the hard work and dedication that is evident on a daily basis.  The district works to provide a quality education to all students and sets high academic standards.  Accelerating academic achievement for all students is an expectation across the curriculum.  Parent, community, and business involvement is welcomed at all levels; contact the building principals to learn about opportunities to get involved.  I am proud of the fact that the district provides quality instruction and programs for students with support from the community.  This will continue to be our organizational focus.</w:t>
      </w:r>
    </w:p>
    <w:p w:rsidR="00282E76" w:rsidRPr="00310CA6" w:rsidRDefault="00282E76" w:rsidP="00282E76">
      <w:pPr>
        <w:rPr>
          <w:rFonts w:ascii="Calibri" w:hAnsi="Calibri"/>
          <w:sz w:val="16"/>
          <w:szCs w:val="16"/>
        </w:rPr>
      </w:pPr>
    </w:p>
    <w:p w:rsidR="00282E76" w:rsidRPr="00282E76" w:rsidRDefault="00282E76" w:rsidP="00282E76">
      <w:pPr>
        <w:jc w:val="both"/>
        <w:rPr>
          <w:rFonts w:ascii="Calibri" w:hAnsi="Calibri"/>
          <w:sz w:val="22"/>
          <w:szCs w:val="22"/>
        </w:rPr>
      </w:pPr>
      <w:r w:rsidRPr="00282E76">
        <w:rPr>
          <w:rFonts w:ascii="Calibri" w:hAnsi="Calibri"/>
          <w:sz w:val="22"/>
          <w:szCs w:val="22"/>
        </w:rPr>
        <w:t>Sincerely,</w:t>
      </w:r>
    </w:p>
    <w:p w:rsidR="00282E76" w:rsidRPr="00282E76" w:rsidRDefault="001E2B09" w:rsidP="00282E76">
      <w:pPr>
        <w:ind w:hanging="180"/>
        <w:rPr>
          <w:rFonts w:ascii="Calibri" w:hAnsi="Calibri"/>
          <w:sz w:val="22"/>
          <w:szCs w:val="22"/>
        </w:rPr>
      </w:pPr>
      <w:r>
        <w:rPr>
          <w:rFonts w:ascii="Calibri" w:hAnsi="Calibri"/>
          <w:noProof/>
          <w:sz w:val="22"/>
          <w:szCs w:val="22"/>
        </w:rPr>
        <w:drawing>
          <wp:inline distT="0" distB="0" distL="0" distR="0">
            <wp:extent cx="5506085" cy="344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6085" cy="344805"/>
                    </a:xfrm>
                    <a:prstGeom prst="rect">
                      <a:avLst/>
                    </a:prstGeom>
                    <a:noFill/>
                    <a:ln>
                      <a:noFill/>
                    </a:ln>
                  </pic:spPr>
                </pic:pic>
              </a:graphicData>
            </a:graphic>
          </wp:inline>
        </w:drawing>
      </w:r>
    </w:p>
    <w:p w:rsidR="00282E76" w:rsidRPr="00282E76" w:rsidRDefault="00282E76" w:rsidP="00282E76">
      <w:pPr>
        <w:rPr>
          <w:rFonts w:ascii="Calibri" w:hAnsi="Calibri"/>
          <w:sz w:val="22"/>
          <w:szCs w:val="22"/>
        </w:rPr>
      </w:pPr>
      <w:r w:rsidRPr="00282E76">
        <w:rPr>
          <w:rFonts w:ascii="Calibri" w:hAnsi="Calibri"/>
          <w:sz w:val="22"/>
          <w:szCs w:val="22"/>
        </w:rPr>
        <w:t>Daniel J. Cwayna</w:t>
      </w:r>
      <w:r w:rsidR="00310CA6">
        <w:rPr>
          <w:rFonts w:ascii="Calibri" w:hAnsi="Calibri"/>
          <w:sz w:val="22"/>
          <w:szCs w:val="22"/>
        </w:rPr>
        <w:t xml:space="preserve">, </w:t>
      </w:r>
      <w:r w:rsidRPr="00282E76">
        <w:rPr>
          <w:rFonts w:ascii="Calibri" w:hAnsi="Calibri"/>
          <w:sz w:val="22"/>
          <w:szCs w:val="22"/>
        </w:rPr>
        <w:t>Superintendent</w:t>
      </w:r>
    </w:p>
    <w:sectPr w:rsidR="00282E76" w:rsidRPr="00282E76" w:rsidSect="00310CA6">
      <w:type w:val="continuous"/>
      <w:pgSz w:w="12240" w:h="15840" w:code="1"/>
      <w:pgMar w:top="720" w:right="1008" w:bottom="720" w:left="1008" w:header="576"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91" w:rsidRDefault="00D02191">
      <w:r>
        <w:separator/>
      </w:r>
    </w:p>
  </w:endnote>
  <w:endnote w:type="continuationSeparator" w:id="0">
    <w:p w:rsidR="00D02191" w:rsidRDefault="00D0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91" w:rsidRDefault="00D02191">
      <w:r>
        <w:separator/>
      </w:r>
    </w:p>
  </w:footnote>
  <w:footnote w:type="continuationSeparator" w:id="0">
    <w:p w:rsidR="00D02191" w:rsidRDefault="00D02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04EF692"/>
    <w:lvl w:ilvl="0">
      <w:numFmt w:val="decimal"/>
      <w:lvlText w:val="*"/>
      <w:lvlJc w:val="left"/>
      <w:rPr>
        <w:rFonts w:cs="Times New Roman"/>
      </w:rPr>
    </w:lvl>
  </w:abstractNum>
  <w:abstractNum w:abstractNumId="1">
    <w:nsid w:val="10A24541"/>
    <w:multiLevelType w:val="hybridMultilevel"/>
    <w:tmpl w:val="825CA7F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61707C"/>
    <w:multiLevelType w:val="hybridMultilevel"/>
    <w:tmpl w:val="2B001B0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30E32E0"/>
    <w:multiLevelType w:val="hybridMultilevel"/>
    <w:tmpl w:val="3132AF3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3C232C3"/>
    <w:multiLevelType w:val="hybridMultilevel"/>
    <w:tmpl w:val="38BA83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C0A5513"/>
    <w:multiLevelType w:val="hybridMultilevel"/>
    <w:tmpl w:val="EC80A0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BC0532"/>
    <w:multiLevelType w:val="hybridMultilevel"/>
    <w:tmpl w:val="F1B09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655227"/>
    <w:multiLevelType w:val="hybridMultilevel"/>
    <w:tmpl w:val="DF6606D6"/>
    <w:lvl w:ilvl="0" w:tplc="EC32D57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9642305"/>
    <w:multiLevelType w:val="hybridMultilevel"/>
    <w:tmpl w:val="75222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0E670A"/>
    <w:multiLevelType w:val="hybridMultilevel"/>
    <w:tmpl w:val="5628A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121B0F"/>
    <w:multiLevelType w:val="hybridMultilevel"/>
    <w:tmpl w:val="94284E5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1">
    <w:nsid w:val="339E627A"/>
    <w:multiLevelType w:val="hybridMultilevel"/>
    <w:tmpl w:val="3E6896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58E27C7"/>
    <w:multiLevelType w:val="hybridMultilevel"/>
    <w:tmpl w:val="557E41B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6351FB0"/>
    <w:multiLevelType w:val="hybridMultilevel"/>
    <w:tmpl w:val="D766E9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A333C6"/>
    <w:multiLevelType w:val="hybridMultilevel"/>
    <w:tmpl w:val="01A6BD50"/>
    <w:lvl w:ilvl="0" w:tplc="EC32D57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80F7DC8"/>
    <w:multiLevelType w:val="hybridMultilevel"/>
    <w:tmpl w:val="5D22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F32C85"/>
    <w:multiLevelType w:val="hybridMultilevel"/>
    <w:tmpl w:val="70E2F9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3464D69"/>
    <w:multiLevelType w:val="hybridMultilevel"/>
    <w:tmpl w:val="E0420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AF71DB"/>
    <w:multiLevelType w:val="hybridMultilevel"/>
    <w:tmpl w:val="7BD29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E9153A9"/>
    <w:multiLevelType w:val="hybridMultilevel"/>
    <w:tmpl w:val="63B0E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ED465BE"/>
    <w:multiLevelType w:val="hybridMultilevel"/>
    <w:tmpl w:val="FE7EF13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6"/>
  </w:num>
  <w:num w:numId="2">
    <w:abstractNumId w:val="8"/>
  </w:num>
  <w:num w:numId="3">
    <w:abstractNumId w:val="5"/>
  </w:num>
  <w:num w:numId="4">
    <w:abstractNumId w:val="11"/>
  </w:num>
  <w:num w:numId="5">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6">
    <w:abstractNumId w:val="9"/>
  </w:num>
  <w:num w:numId="7">
    <w:abstractNumId w:val="10"/>
  </w:num>
  <w:num w:numId="8">
    <w:abstractNumId w:val="17"/>
  </w:num>
  <w:num w:numId="9">
    <w:abstractNumId w:val="15"/>
  </w:num>
  <w:num w:numId="10">
    <w:abstractNumId w:val="13"/>
  </w:num>
  <w:num w:numId="11">
    <w:abstractNumId w:val="14"/>
  </w:num>
  <w:num w:numId="12">
    <w:abstractNumId w:val="7"/>
  </w:num>
  <w:num w:numId="13">
    <w:abstractNumId w:val="18"/>
  </w:num>
  <w:num w:numId="14">
    <w:abstractNumId w:val="3"/>
  </w:num>
  <w:num w:numId="15">
    <w:abstractNumId w:val="19"/>
  </w:num>
  <w:num w:numId="16">
    <w:abstractNumId w:val="20"/>
  </w:num>
  <w:num w:numId="17">
    <w:abstractNumId w:val="2"/>
  </w:num>
  <w:num w:numId="18">
    <w:abstractNumId w:val="12"/>
  </w:num>
  <w:num w:numId="19">
    <w:abstractNumId w:val="16"/>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AF"/>
    <w:rsid w:val="00010073"/>
    <w:rsid w:val="0002025E"/>
    <w:rsid w:val="00020473"/>
    <w:rsid w:val="00057848"/>
    <w:rsid w:val="0006083B"/>
    <w:rsid w:val="00061EB2"/>
    <w:rsid w:val="00063296"/>
    <w:rsid w:val="00066FC0"/>
    <w:rsid w:val="000704D0"/>
    <w:rsid w:val="00085812"/>
    <w:rsid w:val="000A35C4"/>
    <w:rsid w:val="000A391C"/>
    <w:rsid w:val="000A3C42"/>
    <w:rsid w:val="000A52D0"/>
    <w:rsid w:val="000B3E12"/>
    <w:rsid w:val="000B47AE"/>
    <w:rsid w:val="000D09FE"/>
    <w:rsid w:val="000D2DA5"/>
    <w:rsid w:val="000E353E"/>
    <w:rsid w:val="000E4E06"/>
    <w:rsid w:val="000F27C5"/>
    <w:rsid w:val="00101A7F"/>
    <w:rsid w:val="00104F96"/>
    <w:rsid w:val="00106261"/>
    <w:rsid w:val="00110DA7"/>
    <w:rsid w:val="00114EA7"/>
    <w:rsid w:val="00120B49"/>
    <w:rsid w:val="00126A35"/>
    <w:rsid w:val="00150B9F"/>
    <w:rsid w:val="00162161"/>
    <w:rsid w:val="001726D7"/>
    <w:rsid w:val="00175265"/>
    <w:rsid w:val="001774DA"/>
    <w:rsid w:val="00184171"/>
    <w:rsid w:val="001A695C"/>
    <w:rsid w:val="001B37F1"/>
    <w:rsid w:val="001C5DFE"/>
    <w:rsid w:val="001D3577"/>
    <w:rsid w:val="001E0FFE"/>
    <w:rsid w:val="001E2B09"/>
    <w:rsid w:val="001F3657"/>
    <w:rsid w:val="001F3BF7"/>
    <w:rsid w:val="001F452E"/>
    <w:rsid w:val="00204448"/>
    <w:rsid w:val="002069B1"/>
    <w:rsid w:val="00206E37"/>
    <w:rsid w:val="00215650"/>
    <w:rsid w:val="00237CB5"/>
    <w:rsid w:val="0024189E"/>
    <w:rsid w:val="002675B2"/>
    <w:rsid w:val="00282E76"/>
    <w:rsid w:val="002A0320"/>
    <w:rsid w:val="002A5D3B"/>
    <w:rsid w:val="002C04EF"/>
    <w:rsid w:val="002D59A5"/>
    <w:rsid w:val="002D7C1B"/>
    <w:rsid w:val="002E3C67"/>
    <w:rsid w:val="002F1BB7"/>
    <w:rsid w:val="002F1C25"/>
    <w:rsid w:val="00306510"/>
    <w:rsid w:val="00310CA6"/>
    <w:rsid w:val="00314922"/>
    <w:rsid w:val="00316C48"/>
    <w:rsid w:val="0032339F"/>
    <w:rsid w:val="00325ECD"/>
    <w:rsid w:val="00326DA9"/>
    <w:rsid w:val="00357C05"/>
    <w:rsid w:val="0036117B"/>
    <w:rsid w:val="0037243F"/>
    <w:rsid w:val="003937E5"/>
    <w:rsid w:val="003A1346"/>
    <w:rsid w:val="003A726A"/>
    <w:rsid w:val="003A7DAD"/>
    <w:rsid w:val="003B64C3"/>
    <w:rsid w:val="003C10F1"/>
    <w:rsid w:val="003C1221"/>
    <w:rsid w:val="003C3AB6"/>
    <w:rsid w:val="003D3704"/>
    <w:rsid w:val="003E412A"/>
    <w:rsid w:val="003F35C3"/>
    <w:rsid w:val="003F3C1E"/>
    <w:rsid w:val="00413932"/>
    <w:rsid w:val="00423D64"/>
    <w:rsid w:val="004347A5"/>
    <w:rsid w:val="004434E6"/>
    <w:rsid w:val="004476E0"/>
    <w:rsid w:val="004654EC"/>
    <w:rsid w:val="00495D77"/>
    <w:rsid w:val="00497E85"/>
    <w:rsid w:val="004A731F"/>
    <w:rsid w:val="004B000B"/>
    <w:rsid w:val="004B33A1"/>
    <w:rsid w:val="004C4E90"/>
    <w:rsid w:val="004E2236"/>
    <w:rsid w:val="005117C3"/>
    <w:rsid w:val="00511994"/>
    <w:rsid w:val="00517392"/>
    <w:rsid w:val="00546C5E"/>
    <w:rsid w:val="005672E7"/>
    <w:rsid w:val="00575CC5"/>
    <w:rsid w:val="00597FF0"/>
    <w:rsid w:val="005A2D19"/>
    <w:rsid w:val="005A6A47"/>
    <w:rsid w:val="005E0AE7"/>
    <w:rsid w:val="005E54E2"/>
    <w:rsid w:val="00602029"/>
    <w:rsid w:val="0060619B"/>
    <w:rsid w:val="00610411"/>
    <w:rsid w:val="00621C1A"/>
    <w:rsid w:val="00631711"/>
    <w:rsid w:val="0063451B"/>
    <w:rsid w:val="00641135"/>
    <w:rsid w:val="006556E3"/>
    <w:rsid w:val="006608EB"/>
    <w:rsid w:val="0066743E"/>
    <w:rsid w:val="00671367"/>
    <w:rsid w:val="00690C2F"/>
    <w:rsid w:val="006979FE"/>
    <w:rsid w:val="006A3135"/>
    <w:rsid w:val="006B5B6E"/>
    <w:rsid w:val="006C5A8A"/>
    <w:rsid w:val="006D65F9"/>
    <w:rsid w:val="006D7066"/>
    <w:rsid w:val="006E057B"/>
    <w:rsid w:val="006E08AB"/>
    <w:rsid w:val="006E36B9"/>
    <w:rsid w:val="006F2D56"/>
    <w:rsid w:val="006F5131"/>
    <w:rsid w:val="0071030A"/>
    <w:rsid w:val="00711612"/>
    <w:rsid w:val="00711E04"/>
    <w:rsid w:val="00714511"/>
    <w:rsid w:val="00727E7F"/>
    <w:rsid w:val="00744DBA"/>
    <w:rsid w:val="00746668"/>
    <w:rsid w:val="00747837"/>
    <w:rsid w:val="0075387D"/>
    <w:rsid w:val="00760449"/>
    <w:rsid w:val="00763991"/>
    <w:rsid w:val="007670C5"/>
    <w:rsid w:val="007678BC"/>
    <w:rsid w:val="00771F65"/>
    <w:rsid w:val="00780BA2"/>
    <w:rsid w:val="007A0312"/>
    <w:rsid w:val="007B1E4A"/>
    <w:rsid w:val="007C2788"/>
    <w:rsid w:val="007C57AF"/>
    <w:rsid w:val="007C7462"/>
    <w:rsid w:val="007E1236"/>
    <w:rsid w:val="007F39FD"/>
    <w:rsid w:val="008236F8"/>
    <w:rsid w:val="00831C2C"/>
    <w:rsid w:val="008424CB"/>
    <w:rsid w:val="00843723"/>
    <w:rsid w:val="00844376"/>
    <w:rsid w:val="008519BB"/>
    <w:rsid w:val="00851AC1"/>
    <w:rsid w:val="00854EAF"/>
    <w:rsid w:val="0085511F"/>
    <w:rsid w:val="0085639F"/>
    <w:rsid w:val="00863ACA"/>
    <w:rsid w:val="00865F28"/>
    <w:rsid w:val="00872103"/>
    <w:rsid w:val="008824A6"/>
    <w:rsid w:val="00883544"/>
    <w:rsid w:val="008A6818"/>
    <w:rsid w:val="008B1C4C"/>
    <w:rsid w:val="008C18CD"/>
    <w:rsid w:val="008C24BF"/>
    <w:rsid w:val="008C51ED"/>
    <w:rsid w:val="008D5707"/>
    <w:rsid w:val="008E2AE3"/>
    <w:rsid w:val="008F6512"/>
    <w:rsid w:val="00900E7D"/>
    <w:rsid w:val="0090489F"/>
    <w:rsid w:val="00913844"/>
    <w:rsid w:val="00923BD2"/>
    <w:rsid w:val="0093306E"/>
    <w:rsid w:val="0093749F"/>
    <w:rsid w:val="00941A57"/>
    <w:rsid w:val="00945DF5"/>
    <w:rsid w:val="00950350"/>
    <w:rsid w:val="00970474"/>
    <w:rsid w:val="009721DF"/>
    <w:rsid w:val="00983D76"/>
    <w:rsid w:val="00992C34"/>
    <w:rsid w:val="009D0D8B"/>
    <w:rsid w:val="009D0E2C"/>
    <w:rsid w:val="009D5D35"/>
    <w:rsid w:val="009E3718"/>
    <w:rsid w:val="009F385F"/>
    <w:rsid w:val="00A14831"/>
    <w:rsid w:val="00A25884"/>
    <w:rsid w:val="00A314D2"/>
    <w:rsid w:val="00A4532C"/>
    <w:rsid w:val="00A45C56"/>
    <w:rsid w:val="00A6103D"/>
    <w:rsid w:val="00A76140"/>
    <w:rsid w:val="00A8273F"/>
    <w:rsid w:val="00A827BC"/>
    <w:rsid w:val="00A93751"/>
    <w:rsid w:val="00A9506B"/>
    <w:rsid w:val="00AA241A"/>
    <w:rsid w:val="00AD5A5C"/>
    <w:rsid w:val="00AE66A0"/>
    <w:rsid w:val="00B04AD0"/>
    <w:rsid w:val="00B203E9"/>
    <w:rsid w:val="00B42D51"/>
    <w:rsid w:val="00B455C7"/>
    <w:rsid w:val="00B534BE"/>
    <w:rsid w:val="00B72472"/>
    <w:rsid w:val="00B810BA"/>
    <w:rsid w:val="00B82F5A"/>
    <w:rsid w:val="00B901AE"/>
    <w:rsid w:val="00B92CAD"/>
    <w:rsid w:val="00BA2616"/>
    <w:rsid w:val="00BB3C8C"/>
    <w:rsid w:val="00BB78C8"/>
    <w:rsid w:val="00C00E4B"/>
    <w:rsid w:val="00C047DB"/>
    <w:rsid w:val="00C10338"/>
    <w:rsid w:val="00C165E1"/>
    <w:rsid w:val="00C213DC"/>
    <w:rsid w:val="00C3468F"/>
    <w:rsid w:val="00C427EA"/>
    <w:rsid w:val="00C439B4"/>
    <w:rsid w:val="00C513FA"/>
    <w:rsid w:val="00C53FC3"/>
    <w:rsid w:val="00C60E5B"/>
    <w:rsid w:val="00C633E3"/>
    <w:rsid w:val="00C7417B"/>
    <w:rsid w:val="00C80FE4"/>
    <w:rsid w:val="00C81D2F"/>
    <w:rsid w:val="00C923AF"/>
    <w:rsid w:val="00CA1B58"/>
    <w:rsid w:val="00CB6E3A"/>
    <w:rsid w:val="00CB7ABC"/>
    <w:rsid w:val="00CC4118"/>
    <w:rsid w:val="00CD35CE"/>
    <w:rsid w:val="00CE1F8C"/>
    <w:rsid w:val="00CE6F82"/>
    <w:rsid w:val="00CF362E"/>
    <w:rsid w:val="00CF6083"/>
    <w:rsid w:val="00D0208B"/>
    <w:rsid w:val="00D02191"/>
    <w:rsid w:val="00D02B93"/>
    <w:rsid w:val="00D24E3F"/>
    <w:rsid w:val="00D5114C"/>
    <w:rsid w:val="00D57D1A"/>
    <w:rsid w:val="00D639FA"/>
    <w:rsid w:val="00D64D5D"/>
    <w:rsid w:val="00D74A6D"/>
    <w:rsid w:val="00DB712D"/>
    <w:rsid w:val="00DC56C2"/>
    <w:rsid w:val="00DD232A"/>
    <w:rsid w:val="00DD2F29"/>
    <w:rsid w:val="00DD63F6"/>
    <w:rsid w:val="00DE218A"/>
    <w:rsid w:val="00E10308"/>
    <w:rsid w:val="00E13237"/>
    <w:rsid w:val="00E31F01"/>
    <w:rsid w:val="00E42613"/>
    <w:rsid w:val="00E4501F"/>
    <w:rsid w:val="00E4614F"/>
    <w:rsid w:val="00E50E3C"/>
    <w:rsid w:val="00E57A30"/>
    <w:rsid w:val="00E63DEA"/>
    <w:rsid w:val="00E761DE"/>
    <w:rsid w:val="00E81A38"/>
    <w:rsid w:val="00E83CB2"/>
    <w:rsid w:val="00E90068"/>
    <w:rsid w:val="00E92360"/>
    <w:rsid w:val="00E92497"/>
    <w:rsid w:val="00E95819"/>
    <w:rsid w:val="00EA35DE"/>
    <w:rsid w:val="00EB0C44"/>
    <w:rsid w:val="00EC532A"/>
    <w:rsid w:val="00EC56DF"/>
    <w:rsid w:val="00EC5C34"/>
    <w:rsid w:val="00ED1DE6"/>
    <w:rsid w:val="00EF421F"/>
    <w:rsid w:val="00F20BA7"/>
    <w:rsid w:val="00F57575"/>
    <w:rsid w:val="00F61C5E"/>
    <w:rsid w:val="00F629D2"/>
    <w:rsid w:val="00F7470C"/>
    <w:rsid w:val="00F77AC0"/>
    <w:rsid w:val="00F93FDF"/>
    <w:rsid w:val="00FA01CC"/>
    <w:rsid w:val="00FA5A59"/>
    <w:rsid w:val="00FB26CF"/>
    <w:rsid w:val="00FB57CF"/>
    <w:rsid w:val="00FC4439"/>
    <w:rsid w:val="00FE06DF"/>
    <w:rsid w:val="00FE1721"/>
    <w:rsid w:val="00FE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12"/>
    <w:rPr>
      <w:sz w:val="24"/>
    </w:rPr>
  </w:style>
  <w:style w:type="paragraph" w:styleId="Heading1">
    <w:name w:val="heading 1"/>
    <w:basedOn w:val="Normal"/>
    <w:next w:val="Normal"/>
    <w:link w:val="Heading1Char"/>
    <w:uiPriority w:val="99"/>
    <w:qFormat/>
    <w:rsid w:val="008F6512"/>
    <w:pPr>
      <w:keepNext/>
      <w:autoSpaceDE w:val="0"/>
      <w:autoSpaceDN w:val="0"/>
      <w:adjustRightInd w:val="0"/>
      <w:outlineLvl w:val="0"/>
    </w:pPr>
    <w:rPr>
      <w:b/>
      <w:bCs/>
      <w:sz w:val="20"/>
      <w:szCs w:val="24"/>
    </w:rPr>
  </w:style>
  <w:style w:type="paragraph" w:styleId="Heading2">
    <w:name w:val="heading 2"/>
    <w:basedOn w:val="Normal"/>
    <w:next w:val="Normal"/>
    <w:link w:val="Heading2Char"/>
    <w:uiPriority w:val="99"/>
    <w:qFormat/>
    <w:rsid w:val="008F651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5AE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25AEF"/>
    <w:rPr>
      <w:rFonts w:ascii="Cambria" w:eastAsia="Times New Roman" w:hAnsi="Cambria" w:cs="Times New Roman"/>
      <w:b/>
      <w:bCs/>
      <w:i/>
      <w:iCs/>
      <w:sz w:val="28"/>
      <w:szCs w:val="28"/>
    </w:rPr>
  </w:style>
  <w:style w:type="paragraph" w:styleId="Header">
    <w:name w:val="header"/>
    <w:basedOn w:val="Normal"/>
    <w:link w:val="HeaderChar"/>
    <w:rsid w:val="008F6512"/>
    <w:pPr>
      <w:tabs>
        <w:tab w:val="center" w:pos="4320"/>
        <w:tab w:val="right" w:pos="8640"/>
      </w:tabs>
    </w:pPr>
  </w:style>
  <w:style w:type="character" w:customStyle="1" w:styleId="HeaderChar">
    <w:name w:val="Header Char"/>
    <w:link w:val="Header"/>
    <w:rsid w:val="00325AEF"/>
    <w:rPr>
      <w:sz w:val="24"/>
      <w:szCs w:val="20"/>
    </w:rPr>
  </w:style>
  <w:style w:type="paragraph" w:styleId="Footer">
    <w:name w:val="footer"/>
    <w:basedOn w:val="Normal"/>
    <w:link w:val="FooterChar"/>
    <w:uiPriority w:val="99"/>
    <w:rsid w:val="008F6512"/>
    <w:pPr>
      <w:tabs>
        <w:tab w:val="center" w:pos="4320"/>
        <w:tab w:val="right" w:pos="8640"/>
      </w:tabs>
    </w:pPr>
  </w:style>
  <w:style w:type="character" w:customStyle="1" w:styleId="FooterChar">
    <w:name w:val="Footer Char"/>
    <w:link w:val="Footer"/>
    <w:uiPriority w:val="99"/>
    <w:semiHidden/>
    <w:rsid w:val="00325AEF"/>
    <w:rPr>
      <w:sz w:val="24"/>
      <w:szCs w:val="20"/>
    </w:rPr>
  </w:style>
  <w:style w:type="character" w:styleId="Hyperlink">
    <w:name w:val="Hyperlink"/>
    <w:uiPriority w:val="99"/>
    <w:rsid w:val="008F6512"/>
    <w:rPr>
      <w:rFonts w:cs="Times New Roman"/>
      <w:color w:val="0000FF"/>
      <w:u w:val="single"/>
    </w:rPr>
  </w:style>
  <w:style w:type="character" w:styleId="PageNumber">
    <w:name w:val="page number"/>
    <w:uiPriority w:val="99"/>
    <w:rsid w:val="008F6512"/>
    <w:rPr>
      <w:rFonts w:cs="Times New Roman"/>
    </w:rPr>
  </w:style>
  <w:style w:type="character" w:styleId="FollowedHyperlink">
    <w:name w:val="FollowedHyperlink"/>
    <w:uiPriority w:val="99"/>
    <w:rsid w:val="008F6512"/>
    <w:rPr>
      <w:rFonts w:cs="Times New Roman"/>
      <w:color w:val="800080"/>
      <w:u w:val="single"/>
    </w:rPr>
  </w:style>
  <w:style w:type="paragraph" w:styleId="BodyText">
    <w:name w:val="Body Text"/>
    <w:basedOn w:val="Normal"/>
    <w:link w:val="BodyTextChar"/>
    <w:uiPriority w:val="99"/>
    <w:rsid w:val="008F6512"/>
    <w:pPr>
      <w:jc w:val="center"/>
    </w:pPr>
    <w:rPr>
      <w:b/>
      <w:bCs/>
      <w:color w:val="000000"/>
      <w:sz w:val="40"/>
      <w:szCs w:val="44"/>
    </w:rPr>
  </w:style>
  <w:style w:type="character" w:customStyle="1" w:styleId="BodyTextChar">
    <w:name w:val="Body Text Char"/>
    <w:link w:val="BodyText"/>
    <w:uiPriority w:val="99"/>
    <w:semiHidden/>
    <w:rsid w:val="00325AEF"/>
    <w:rPr>
      <w:sz w:val="24"/>
      <w:szCs w:val="20"/>
    </w:rPr>
  </w:style>
  <w:style w:type="paragraph" w:styleId="BodyText2">
    <w:name w:val="Body Text 2"/>
    <w:basedOn w:val="Normal"/>
    <w:link w:val="BodyText2Char"/>
    <w:uiPriority w:val="99"/>
    <w:rsid w:val="008F6512"/>
    <w:pPr>
      <w:jc w:val="both"/>
    </w:pPr>
    <w:rPr>
      <w:i/>
      <w:iCs/>
    </w:rPr>
  </w:style>
  <w:style w:type="character" w:customStyle="1" w:styleId="BodyText2Char">
    <w:name w:val="Body Text 2 Char"/>
    <w:link w:val="BodyText2"/>
    <w:uiPriority w:val="99"/>
    <w:semiHidden/>
    <w:rsid w:val="00325AEF"/>
    <w:rPr>
      <w:sz w:val="24"/>
      <w:szCs w:val="20"/>
    </w:rPr>
  </w:style>
  <w:style w:type="paragraph" w:customStyle="1" w:styleId="HTMLAcronym1">
    <w:name w:val="HTML Acronym1"/>
    <w:basedOn w:val="z-TopofForm"/>
    <w:uiPriority w:val="99"/>
    <w:rsid w:val="008F6512"/>
    <w:pPr>
      <w:pBdr>
        <w:bottom w:val="none" w:sz="0" w:space="0" w:color="auto"/>
      </w:pBdr>
      <w:jc w:val="left"/>
    </w:pPr>
    <w:rPr>
      <w:rFonts w:ascii="Times" w:hAnsi="Times" w:cs="Times New Roman"/>
      <w:vanish w:val="0"/>
      <w:sz w:val="24"/>
      <w:szCs w:val="20"/>
      <w:lang w:val="en-GB"/>
    </w:rPr>
  </w:style>
  <w:style w:type="paragraph" w:styleId="z-TopofForm">
    <w:name w:val="HTML Top of Form"/>
    <w:basedOn w:val="Normal"/>
    <w:next w:val="Normal"/>
    <w:link w:val="z-TopofFormChar"/>
    <w:hidden/>
    <w:uiPriority w:val="99"/>
    <w:rsid w:val="008F651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325AEF"/>
    <w:rPr>
      <w:rFonts w:ascii="Arial" w:hAnsi="Arial" w:cs="Arial"/>
      <w:vanish/>
      <w:sz w:val="16"/>
      <w:szCs w:val="16"/>
    </w:rPr>
  </w:style>
  <w:style w:type="paragraph" w:styleId="BalloonText">
    <w:name w:val="Balloon Text"/>
    <w:basedOn w:val="Normal"/>
    <w:link w:val="BalloonTextChar"/>
    <w:uiPriority w:val="99"/>
    <w:semiHidden/>
    <w:rsid w:val="008F6512"/>
    <w:rPr>
      <w:rFonts w:ascii="Tahoma" w:hAnsi="Tahoma" w:cs="Tahoma"/>
      <w:sz w:val="16"/>
      <w:szCs w:val="16"/>
    </w:rPr>
  </w:style>
  <w:style w:type="character" w:customStyle="1" w:styleId="BalloonTextChar">
    <w:name w:val="Balloon Text Char"/>
    <w:link w:val="BalloonText"/>
    <w:uiPriority w:val="99"/>
    <w:semiHidden/>
    <w:rsid w:val="00325AEF"/>
    <w:rPr>
      <w:sz w:val="0"/>
      <w:szCs w:val="0"/>
    </w:rPr>
  </w:style>
  <w:style w:type="paragraph" w:customStyle="1" w:styleId="Level1">
    <w:name w:val="Level 1"/>
    <w:uiPriority w:val="99"/>
    <w:rsid w:val="00FB57CF"/>
    <w:pPr>
      <w:autoSpaceDE w:val="0"/>
      <w:autoSpaceDN w:val="0"/>
      <w:adjustRightInd w:val="0"/>
      <w:ind w:left="720"/>
    </w:pPr>
    <w:rPr>
      <w:szCs w:val="24"/>
    </w:rPr>
  </w:style>
  <w:style w:type="paragraph" w:customStyle="1" w:styleId="Default">
    <w:name w:val="Default"/>
    <w:uiPriority w:val="99"/>
    <w:rsid w:val="009721DF"/>
    <w:pPr>
      <w:autoSpaceDE w:val="0"/>
      <w:autoSpaceDN w:val="0"/>
      <w:adjustRightInd w:val="0"/>
    </w:pPr>
    <w:rPr>
      <w:rFonts w:ascii="Verdana" w:hAnsi="Verdana" w:cs="Verdana"/>
      <w:color w:val="000000"/>
      <w:sz w:val="24"/>
      <w:szCs w:val="24"/>
    </w:rPr>
  </w:style>
  <w:style w:type="table" w:styleId="TableGrid">
    <w:name w:val="Table Grid"/>
    <w:basedOn w:val="TableNormal"/>
    <w:rsid w:val="002C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F35C3"/>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12"/>
    <w:rPr>
      <w:sz w:val="24"/>
    </w:rPr>
  </w:style>
  <w:style w:type="paragraph" w:styleId="Heading1">
    <w:name w:val="heading 1"/>
    <w:basedOn w:val="Normal"/>
    <w:next w:val="Normal"/>
    <w:link w:val="Heading1Char"/>
    <w:uiPriority w:val="99"/>
    <w:qFormat/>
    <w:rsid w:val="008F6512"/>
    <w:pPr>
      <w:keepNext/>
      <w:autoSpaceDE w:val="0"/>
      <w:autoSpaceDN w:val="0"/>
      <w:adjustRightInd w:val="0"/>
      <w:outlineLvl w:val="0"/>
    </w:pPr>
    <w:rPr>
      <w:b/>
      <w:bCs/>
      <w:sz w:val="20"/>
      <w:szCs w:val="24"/>
    </w:rPr>
  </w:style>
  <w:style w:type="paragraph" w:styleId="Heading2">
    <w:name w:val="heading 2"/>
    <w:basedOn w:val="Normal"/>
    <w:next w:val="Normal"/>
    <w:link w:val="Heading2Char"/>
    <w:uiPriority w:val="99"/>
    <w:qFormat/>
    <w:rsid w:val="008F6512"/>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5AE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25AEF"/>
    <w:rPr>
      <w:rFonts w:ascii="Cambria" w:eastAsia="Times New Roman" w:hAnsi="Cambria" w:cs="Times New Roman"/>
      <w:b/>
      <w:bCs/>
      <w:i/>
      <w:iCs/>
      <w:sz w:val="28"/>
      <w:szCs w:val="28"/>
    </w:rPr>
  </w:style>
  <w:style w:type="paragraph" w:styleId="Header">
    <w:name w:val="header"/>
    <w:basedOn w:val="Normal"/>
    <w:link w:val="HeaderChar"/>
    <w:rsid w:val="008F6512"/>
    <w:pPr>
      <w:tabs>
        <w:tab w:val="center" w:pos="4320"/>
        <w:tab w:val="right" w:pos="8640"/>
      </w:tabs>
    </w:pPr>
  </w:style>
  <w:style w:type="character" w:customStyle="1" w:styleId="HeaderChar">
    <w:name w:val="Header Char"/>
    <w:link w:val="Header"/>
    <w:rsid w:val="00325AEF"/>
    <w:rPr>
      <w:sz w:val="24"/>
      <w:szCs w:val="20"/>
    </w:rPr>
  </w:style>
  <w:style w:type="paragraph" w:styleId="Footer">
    <w:name w:val="footer"/>
    <w:basedOn w:val="Normal"/>
    <w:link w:val="FooterChar"/>
    <w:uiPriority w:val="99"/>
    <w:rsid w:val="008F6512"/>
    <w:pPr>
      <w:tabs>
        <w:tab w:val="center" w:pos="4320"/>
        <w:tab w:val="right" w:pos="8640"/>
      </w:tabs>
    </w:pPr>
  </w:style>
  <w:style w:type="character" w:customStyle="1" w:styleId="FooterChar">
    <w:name w:val="Footer Char"/>
    <w:link w:val="Footer"/>
    <w:uiPriority w:val="99"/>
    <w:semiHidden/>
    <w:rsid w:val="00325AEF"/>
    <w:rPr>
      <w:sz w:val="24"/>
      <w:szCs w:val="20"/>
    </w:rPr>
  </w:style>
  <w:style w:type="character" w:styleId="Hyperlink">
    <w:name w:val="Hyperlink"/>
    <w:uiPriority w:val="99"/>
    <w:rsid w:val="008F6512"/>
    <w:rPr>
      <w:rFonts w:cs="Times New Roman"/>
      <w:color w:val="0000FF"/>
      <w:u w:val="single"/>
    </w:rPr>
  </w:style>
  <w:style w:type="character" w:styleId="PageNumber">
    <w:name w:val="page number"/>
    <w:uiPriority w:val="99"/>
    <w:rsid w:val="008F6512"/>
    <w:rPr>
      <w:rFonts w:cs="Times New Roman"/>
    </w:rPr>
  </w:style>
  <w:style w:type="character" w:styleId="FollowedHyperlink">
    <w:name w:val="FollowedHyperlink"/>
    <w:uiPriority w:val="99"/>
    <w:rsid w:val="008F6512"/>
    <w:rPr>
      <w:rFonts w:cs="Times New Roman"/>
      <w:color w:val="800080"/>
      <w:u w:val="single"/>
    </w:rPr>
  </w:style>
  <w:style w:type="paragraph" w:styleId="BodyText">
    <w:name w:val="Body Text"/>
    <w:basedOn w:val="Normal"/>
    <w:link w:val="BodyTextChar"/>
    <w:uiPriority w:val="99"/>
    <w:rsid w:val="008F6512"/>
    <w:pPr>
      <w:jc w:val="center"/>
    </w:pPr>
    <w:rPr>
      <w:b/>
      <w:bCs/>
      <w:color w:val="000000"/>
      <w:sz w:val="40"/>
      <w:szCs w:val="44"/>
    </w:rPr>
  </w:style>
  <w:style w:type="character" w:customStyle="1" w:styleId="BodyTextChar">
    <w:name w:val="Body Text Char"/>
    <w:link w:val="BodyText"/>
    <w:uiPriority w:val="99"/>
    <w:semiHidden/>
    <w:rsid w:val="00325AEF"/>
    <w:rPr>
      <w:sz w:val="24"/>
      <w:szCs w:val="20"/>
    </w:rPr>
  </w:style>
  <w:style w:type="paragraph" w:styleId="BodyText2">
    <w:name w:val="Body Text 2"/>
    <w:basedOn w:val="Normal"/>
    <w:link w:val="BodyText2Char"/>
    <w:uiPriority w:val="99"/>
    <w:rsid w:val="008F6512"/>
    <w:pPr>
      <w:jc w:val="both"/>
    </w:pPr>
    <w:rPr>
      <w:i/>
      <w:iCs/>
    </w:rPr>
  </w:style>
  <w:style w:type="character" w:customStyle="1" w:styleId="BodyText2Char">
    <w:name w:val="Body Text 2 Char"/>
    <w:link w:val="BodyText2"/>
    <w:uiPriority w:val="99"/>
    <w:semiHidden/>
    <w:rsid w:val="00325AEF"/>
    <w:rPr>
      <w:sz w:val="24"/>
      <w:szCs w:val="20"/>
    </w:rPr>
  </w:style>
  <w:style w:type="paragraph" w:customStyle="1" w:styleId="HTMLAcronym1">
    <w:name w:val="HTML Acronym1"/>
    <w:basedOn w:val="z-TopofForm"/>
    <w:uiPriority w:val="99"/>
    <w:rsid w:val="008F6512"/>
    <w:pPr>
      <w:pBdr>
        <w:bottom w:val="none" w:sz="0" w:space="0" w:color="auto"/>
      </w:pBdr>
      <w:jc w:val="left"/>
    </w:pPr>
    <w:rPr>
      <w:rFonts w:ascii="Times" w:hAnsi="Times" w:cs="Times New Roman"/>
      <w:vanish w:val="0"/>
      <w:sz w:val="24"/>
      <w:szCs w:val="20"/>
      <w:lang w:val="en-GB"/>
    </w:rPr>
  </w:style>
  <w:style w:type="paragraph" w:styleId="z-TopofForm">
    <w:name w:val="HTML Top of Form"/>
    <w:basedOn w:val="Normal"/>
    <w:next w:val="Normal"/>
    <w:link w:val="z-TopofFormChar"/>
    <w:hidden/>
    <w:uiPriority w:val="99"/>
    <w:rsid w:val="008F651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325AEF"/>
    <w:rPr>
      <w:rFonts w:ascii="Arial" w:hAnsi="Arial" w:cs="Arial"/>
      <w:vanish/>
      <w:sz w:val="16"/>
      <w:szCs w:val="16"/>
    </w:rPr>
  </w:style>
  <w:style w:type="paragraph" w:styleId="BalloonText">
    <w:name w:val="Balloon Text"/>
    <w:basedOn w:val="Normal"/>
    <w:link w:val="BalloonTextChar"/>
    <w:uiPriority w:val="99"/>
    <w:semiHidden/>
    <w:rsid w:val="008F6512"/>
    <w:rPr>
      <w:rFonts w:ascii="Tahoma" w:hAnsi="Tahoma" w:cs="Tahoma"/>
      <w:sz w:val="16"/>
      <w:szCs w:val="16"/>
    </w:rPr>
  </w:style>
  <w:style w:type="character" w:customStyle="1" w:styleId="BalloonTextChar">
    <w:name w:val="Balloon Text Char"/>
    <w:link w:val="BalloonText"/>
    <w:uiPriority w:val="99"/>
    <w:semiHidden/>
    <w:rsid w:val="00325AEF"/>
    <w:rPr>
      <w:sz w:val="0"/>
      <w:szCs w:val="0"/>
    </w:rPr>
  </w:style>
  <w:style w:type="paragraph" w:customStyle="1" w:styleId="Level1">
    <w:name w:val="Level 1"/>
    <w:uiPriority w:val="99"/>
    <w:rsid w:val="00FB57CF"/>
    <w:pPr>
      <w:autoSpaceDE w:val="0"/>
      <w:autoSpaceDN w:val="0"/>
      <w:adjustRightInd w:val="0"/>
      <w:ind w:left="720"/>
    </w:pPr>
    <w:rPr>
      <w:szCs w:val="24"/>
    </w:rPr>
  </w:style>
  <w:style w:type="paragraph" w:customStyle="1" w:styleId="Default">
    <w:name w:val="Default"/>
    <w:uiPriority w:val="99"/>
    <w:rsid w:val="009721DF"/>
    <w:pPr>
      <w:autoSpaceDE w:val="0"/>
      <w:autoSpaceDN w:val="0"/>
      <w:adjustRightInd w:val="0"/>
    </w:pPr>
    <w:rPr>
      <w:rFonts w:ascii="Verdana" w:hAnsi="Verdana" w:cs="Verdana"/>
      <w:color w:val="000000"/>
      <w:sz w:val="24"/>
      <w:szCs w:val="24"/>
    </w:rPr>
  </w:style>
  <w:style w:type="table" w:styleId="TableGrid">
    <w:name w:val="Table Grid"/>
    <w:basedOn w:val="TableNormal"/>
    <w:rsid w:val="002C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F35C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1252">
      <w:bodyDiv w:val="1"/>
      <w:marLeft w:val="0"/>
      <w:marRight w:val="0"/>
      <w:marTop w:val="0"/>
      <w:marBottom w:val="0"/>
      <w:divBdr>
        <w:top w:val="none" w:sz="0" w:space="0" w:color="auto"/>
        <w:left w:val="none" w:sz="0" w:space="0" w:color="auto"/>
        <w:bottom w:val="none" w:sz="0" w:space="0" w:color="auto"/>
        <w:right w:val="none" w:sz="0" w:space="0" w:color="auto"/>
      </w:divBdr>
    </w:div>
    <w:div w:id="18968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brc.k12.mi.u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brc.k12.mi.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brc.k12.mi.us/downloads/annual_reports/aer_2014_rcs.pdf.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brc.k12.mi.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EE20-6C70-45CF-AEE0-2563516C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2</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Dept. of Treasury</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Michigan</dc:creator>
  <cp:lastModifiedBy>Debra Abraham</cp:lastModifiedBy>
  <cp:revision>2</cp:revision>
  <cp:lastPrinted>2014-08-14T16:53:00Z</cp:lastPrinted>
  <dcterms:created xsi:type="dcterms:W3CDTF">2014-08-14T18:49:00Z</dcterms:created>
  <dcterms:modified xsi:type="dcterms:W3CDTF">2014-08-14T18:49:00Z</dcterms:modified>
</cp:coreProperties>
</file>